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BD8EB" w14:textId="77777777" w:rsidR="007E40EC" w:rsidRDefault="00A935D2">
      <w:pPr>
        <w:pStyle w:val="Standard"/>
        <w:spacing w:after="0"/>
        <w:jc w:val="right"/>
        <w:rPr>
          <w:sz w:val="20"/>
        </w:rPr>
      </w:pPr>
      <w:r>
        <w:rPr>
          <w:sz w:val="20"/>
        </w:rPr>
        <w:t xml:space="preserve">Allegato </w:t>
      </w:r>
      <w:proofErr w:type="gramStart"/>
      <w:r>
        <w:rPr>
          <w:sz w:val="20"/>
        </w:rPr>
        <w:t>3</w:t>
      </w:r>
      <w:proofErr w:type="gramEnd"/>
    </w:p>
    <w:p w14:paraId="7CCD85AF" w14:textId="77777777" w:rsidR="007E40EC" w:rsidRDefault="00A935D2">
      <w:pPr>
        <w:pStyle w:val="Standard"/>
        <w:spacing w:after="0"/>
        <w:jc w:val="right"/>
      </w:pPr>
      <w:r>
        <w:rPr>
          <w:sz w:val="20"/>
        </w:rPr>
        <w:t>PIANO ECONOMICO - FINANZIARIO DI MASSIMA</w:t>
      </w:r>
    </w:p>
    <w:p w14:paraId="738E945D" w14:textId="77777777" w:rsidR="007E40EC" w:rsidRDefault="007E40EC">
      <w:pPr>
        <w:pStyle w:val="Standard"/>
        <w:spacing w:after="0"/>
        <w:jc w:val="center"/>
      </w:pPr>
    </w:p>
    <w:p w14:paraId="3FDEB57D" w14:textId="77777777" w:rsidR="007E40EC" w:rsidRDefault="00A935D2">
      <w:pPr>
        <w:pStyle w:val="Standard"/>
        <w:spacing w:after="0"/>
        <w:jc w:val="center"/>
        <w:rPr>
          <w:b/>
        </w:rPr>
      </w:pPr>
      <w:r>
        <w:rPr>
          <w:b/>
        </w:rPr>
        <w:t>PIANO ECONOMICO - FINANZIARIO DI MASSIMA</w:t>
      </w:r>
    </w:p>
    <w:p w14:paraId="5DE54012" w14:textId="77777777" w:rsidR="007E40EC" w:rsidRDefault="007E40EC">
      <w:pPr>
        <w:pStyle w:val="Standard"/>
        <w:spacing w:after="0"/>
        <w:jc w:val="center"/>
      </w:pPr>
    </w:p>
    <w:p w14:paraId="3ED7CD34" w14:textId="77777777" w:rsidR="007E40EC" w:rsidRDefault="00A935D2">
      <w:pPr>
        <w:pStyle w:val="Standard"/>
        <w:jc w:val="both"/>
        <w:rPr>
          <w:b/>
        </w:rPr>
      </w:pPr>
      <w:proofErr w:type="gramStart"/>
      <w:r>
        <w:rPr>
          <w:b/>
        </w:rPr>
        <w:t>OGGETTO: GARA PER L’AFFIDAMENTO IN CONCESSIONE DEL SERVIZIO DI GESTIONE BAR E CATERING “DENOMINATO CAFFÈ LETTERARIO” PRESSO ALCUNI LOCALI DE</w:t>
      </w:r>
      <w:proofErr w:type="gramEnd"/>
      <w:r>
        <w:rPr>
          <w:b/>
        </w:rPr>
        <w:t xml:space="preserve">LLA SEDE DELLA FONDAZIONE SITUATI NELL’EX MATTATOIO COMUNALE DEL PAESE, NELLA ZONA DEL LUNGOMARE A SUD, PER LA DURATA DI CINQUE ANNI, </w:t>
      </w:r>
      <w:r w:rsidRPr="00A935D2">
        <w:rPr>
          <w:b/>
        </w:rPr>
        <w:t>PROROGABILE DI ALTRI CINQUE</w:t>
      </w:r>
      <w:r w:rsidR="00B008FA">
        <w:rPr>
          <w:b/>
        </w:rPr>
        <w:t xml:space="preserve"> (CIG </w:t>
      </w:r>
      <w:r w:rsidR="00B008FA" w:rsidRPr="00B008FA">
        <w:rPr>
          <w:b/>
        </w:rPr>
        <w:t>79266037B8</w:t>
      </w:r>
      <w:r w:rsidR="00B008FA">
        <w:rPr>
          <w:b/>
        </w:rPr>
        <w:t>)</w:t>
      </w:r>
      <w:bookmarkStart w:id="0" w:name="_GoBack"/>
      <w:bookmarkEnd w:id="0"/>
    </w:p>
    <w:p w14:paraId="77E8157C" w14:textId="77777777" w:rsidR="007E40EC" w:rsidRDefault="007E40EC">
      <w:pPr>
        <w:pStyle w:val="Standard"/>
        <w:jc w:val="both"/>
        <w:rPr>
          <w:b/>
        </w:rPr>
      </w:pPr>
    </w:p>
    <w:p w14:paraId="1D8D2ED5" w14:textId="77777777" w:rsidR="007E40EC" w:rsidRDefault="00A935D2">
      <w:pPr>
        <w:pStyle w:val="Standard"/>
        <w:jc w:val="both"/>
        <w:rPr>
          <w:b/>
        </w:rPr>
      </w:pPr>
      <w:r>
        <w:rPr>
          <w:b/>
        </w:rPr>
        <w:t>SOMMARIO</w:t>
      </w:r>
    </w:p>
    <w:p w14:paraId="4C4A73BA" w14:textId="77777777" w:rsidR="007E40EC" w:rsidRDefault="00A935D2">
      <w:pPr>
        <w:pStyle w:val="Standard"/>
        <w:jc w:val="both"/>
        <w:rPr>
          <w:b/>
        </w:rPr>
      </w:pPr>
      <w:r>
        <w:rPr>
          <w:b/>
        </w:rPr>
        <w:t xml:space="preserve">1. Introduzione ............................................................................................................................. </w:t>
      </w:r>
      <w:proofErr w:type="gramStart"/>
      <w:r>
        <w:rPr>
          <w:b/>
        </w:rPr>
        <w:t>3</w:t>
      </w:r>
      <w:proofErr w:type="gramEnd"/>
    </w:p>
    <w:p w14:paraId="5F4671F2" w14:textId="77777777" w:rsidR="007E40EC" w:rsidRDefault="00A935D2">
      <w:pPr>
        <w:pStyle w:val="Standard"/>
        <w:jc w:val="both"/>
        <w:rPr>
          <w:b/>
        </w:rPr>
      </w:pPr>
      <w:r>
        <w:rPr>
          <w:b/>
        </w:rPr>
        <w:t xml:space="preserve">2. Il </w:t>
      </w:r>
      <w:proofErr w:type="gramStart"/>
      <w:r>
        <w:rPr>
          <w:b/>
        </w:rPr>
        <w:t>contesto</w:t>
      </w:r>
      <w:proofErr w:type="gramEnd"/>
      <w:r>
        <w:rPr>
          <w:b/>
        </w:rPr>
        <w:t xml:space="preserve"> socio-economico....................................................................................................... 3</w:t>
      </w:r>
    </w:p>
    <w:p w14:paraId="2C8E46C7" w14:textId="77777777" w:rsidR="007E40EC" w:rsidRDefault="00A935D2">
      <w:pPr>
        <w:pStyle w:val="Standard"/>
        <w:jc w:val="both"/>
        <w:rPr>
          <w:b/>
        </w:rPr>
      </w:pPr>
      <w:r>
        <w:rPr>
          <w:b/>
        </w:rPr>
        <w:t xml:space="preserve">3. Caratteristiche </w:t>
      </w:r>
      <w:proofErr w:type="gramStart"/>
      <w:r>
        <w:rPr>
          <w:b/>
        </w:rPr>
        <w:t>ed</w:t>
      </w:r>
      <w:proofErr w:type="gramEnd"/>
      <w:r>
        <w:rPr>
          <w:b/>
        </w:rPr>
        <w:t xml:space="preserve"> oggetto della concessione ............................................................................. 4</w:t>
      </w:r>
    </w:p>
    <w:p w14:paraId="693E0F6A" w14:textId="77777777" w:rsidR="007E40EC" w:rsidRDefault="00A935D2">
      <w:pPr>
        <w:pStyle w:val="Standard"/>
        <w:jc w:val="both"/>
        <w:rPr>
          <w:b/>
        </w:rPr>
      </w:pPr>
      <w:r>
        <w:rPr>
          <w:b/>
        </w:rPr>
        <w:t xml:space="preserve">4. Descrizione degli investimenti.................................................................................................... </w:t>
      </w:r>
      <w:proofErr w:type="gramStart"/>
      <w:r>
        <w:rPr>
          <w:b/>
        </w:rPr>
        <w:t>5</w:t>
      </w:r>
      <w:proofErr w:type="gramEnd"/>
    </w:p>
    <w:p w14:paraId="0CE24E85" w14:textId="77777777" w:rsidR="007E40EC" w:rsidRDefault="00A935D2">
      <w:pPr>
        <w:pStyle w:val="Standard"/>
        <w:jc w:val="both"/>
        <w:rPr>
          <w:b/>
        </w:rPr>
      </w:pPr>
      <w:r>
        <w:rPr>
          <w:b/>
        </w:rPr>
        <w:t xml:space="preserve">5. Piano economico-finanziario di massima ................................................................................... </w:t>
      </w:r>
      <w:proofErr w:type="gramStart"/>
      <w:r>
        <w:rPr>
          <w:b/>
        </w:rPr>
        <w:t>6</w:t>
      </w:r>
      <w:proofErr w:type="gramEnd"/>
    </w:p>
    <w:p w14:paraId="60EB0534" w14:textId="77777777" w:rsidR="007E40EC" w:rsidRDefault="007E40EC">
      <w:pPr>
        <w:pStyle w:val="Standard"/>
        <w:jc w:val="both"/>
      </w:pPr>
    </w:p>
    <w:p w14:paraId="33338145" w14:textId="77777777" w:rsidR="007E40EC" w:rsidRDefault="007E40EC">
      <w:pPr>
        <w:pStyle w:val="Standard"/>
        <w:jc w:val="both"/>
      </w:pPr>
    </w:p>
    <w:p w14:paraId="59F304B0" w14:textId="77777777" w:rsidR="007E40EC" w:rsidRDefault="007E40EC">
      <w:pPr>
        <w:pStyle w:val="Standard"/>
        <w:jc w:val="both"/>
      </w:pPr>
    </w:p>
    <w:p w14:paraId="5B07BEDC" w14:textId="77777777" w:rsidR="007E40EC" w:rsidRDefault="007E40EC">
      <w:pPr>
        <w:pStyle w:val="Standard"/>
        <w:jc w:val="both"/>
      </w:pPr>
    </w:p>
    <w:p w14:paraId="5331DF7A" w14:textId="77777777" w:rsidR="007E40EC" w:rsidRDefault="007E40EC">
      <w:pPr>
        <w:pStyle w:val="Standard"/>
        <w:jc w:val="both"/>
      </w:pPr>
    </w:p>
    <w:p w14:paraId="3B573831" w14:textId="77777777" w:rsidR="007E40EC" w:rsidRDefault="007E40EC">
      <w:pPr>
        <w:pStyle w:val="Standard"/>
        <w:jc w:val="both"/>
      </w:pPr>
    </w:p>
    <w:p w14:paraId="1C1386B8" w14:textId="77777777" w:rsidR="007E40EC" w:rsidRDefault="007E40EC">
      <w:pPr>
        <w:pStyle w:val="Standard"/>
        <w:jc w:val="both"/>
      </w:pPr>
    </w:p>
    <w:p w14:paraId="34240F4B" w14:textId="77777777" w:rsidR="007E40EC" w:rsidRDefault="007E40EC">
      <w:pPr>
        <w:pStyle w:val="Standard"/>
        <w:jc w:val="both"/>
      </w:pPr>
    </w:p>
    <w:p w14:paraId="666B90E7" w14:textId="77777777" w:rsidR="007E40EC" w:rsidRDefault="007E40EC">
      <w:pPr>
        <w:pStyle w:val="Standard"/>
        <w:jc w:val="both"/>
      </w:pPr>
    </w:p>
    <w:p w14:paraId="47A2D3E5" w14:textId="77777777" w:rsidR="007E40EC" w:rsidRDefault="007E40EC">
      <w:pPr>
        <w:pStyle w:val="Standard"/>
        <w:jc w:val="both"/>
      </w:pPr>
    </w:p>
    <w:p w14:paraId="4CA7DA32" w14:textId="77777777" w:rsidR="007E40EC" w:rsidRDefault="007E40EC">
      <w:pPr>
        <w:pStyle w:val="Standard"/>
        <w:jc w:val="both"/>
      </w:pPr>
    </w:p>
    <w:p w14:paraId="5E6AA07B" w14:textId="77777777" w:rsidR="007E40EC" w:rsidRDefault="007E40EC">
      <w:pPr>
        <w:pStyle w:val="Standard"/>
        <w:jc w:val="both"/>
      </w:pPr>
    </w:p>
    <w:p w14:paraId="3B9B733D" w14:textId="77777777" w:rsidR="007E40EC" w:rsidRDefault="007E40EC">
      <w:pPr>
        <w:pStyle w:val="Standard"/>
        <w:jc w:val="both"/>
      </w:pPr>
    </w:p>
    <w:p w14:paraId="55A0BBDB" w14:textId="77777777" w:rsidR="007E40EC" w:rsidRDefault="007E40EC">
      <w:pPr>
        <w:pStyle w:val="Standard"/>
        <w:jc w:val="both"/>
      </w:pPr>
    </w:p>
    <w:p w14:paraId="1253B274" w14:textId="77777777" w:rsidR="007E40EC" w:rsidRDefault="007E40EC">
      <w:pPr>
        <w:pStyle w:val="Standard"/>
        <w:jc w:val="both"/>
      </w:pPr>
    </w:p>
    <w:p w14:paraId="2FF1C337" w14:textId="77777777" w:rsidR="007E40EC" w:rsidRDefault="00A935D2">
      <w:pPr>
        <w:pStyle w:val="Standard"/>
        <w:jc w:val="both"/>
        <w:rPr>
          <w:b/>
        </w:rPr>
      </w:pPr>
      <w:r>
        <w:rPr>
          <w:b/>
        </w:rPr>
        <w:lastRenderedPageBreak/>
        <w:t>1. Introduzione</w:t>
      </w:r>
    </w:p>
    <w:p w14:paraId="68DADBDC" w14:textId="77777777" w:rsidR="007E40EC" w:rsidRDefault="00A935D2">
      <w:pPr>
        <w:pStyle w:val="Standard"/>
        <w:jc w:val="both"/>
      </w:pPr>
      <w:r>
        <w:t xml:space="preserve">La FONDAZIONE PINO PASCALI - MUSEO D’ARTE CONTEMPORANEA (“Fondazione”), Via Parco del Lauro n. 119 – 70044 Polignano a Mare intende indire una procedura di gara per l’affidamento del servizio </w:t>
      </w:r>
      <w:proofErr w:type="gramStart"/>
      <w:r>
        <w:t>di</w:t>
      </w:r>
      <w:proofErr w:type="gramEnd"/>
      <w:r>
        <w:t xml:space="preserve"> bar/ristorazione presso la sede di Via Parco del Lauro, 119 – Polignano a Mare.</w:t>
      </w:r>
    </w:p>
    <w:p w14:paraId="2F3180AF" w14:textId="77777777" w:rsidR="007E40EC" w:rsidRDefault="00A935D2">
      <w:pPr>
        <w:pStyle w:val="Standard"/>
        <w:jc w:val="both"/>
      </w:pPr>
      <w:r>
        <w:t xml:space="preserve">Il presente documento, ai sensi dell’art. 165 del d.lgs. 50/2016, ha lo scopo di illustrare la fattibilità economico-finanziaria e </w:t>
      </w:r>
      <w:proofErr w:type="gramStart"/>
      <w:r>
        <w:t>gestionale</w:t>
      </w:r>
      <w:proofErr w:type="gramEnd"/>
      <w:r>
        <w:t xml:space="preserve"> di massima dell’investimento e intende fornire ai concorrenti le informazioni utili per la predisposizione delle relative offerte.</w:t>
      </w:r>
    </w:p>
    <w:p w14:paraId="1922736C" w14:textId="77777777" w:rsidR="007E40EC" w:rsidRDefault="00A935D2">
      <w:pPr>
        <w:pStyle w:val="Standard"/>
        <w:jc w:val="both"/>
      </w:pPr>
      <w:r>
        <w:t xml:space="preserve">E’ rimessa al concessionario la facoltà di </w:t>
      </w:r>
      <w:proofErr w:type="gramStart"/>
      <w:r>
        <w:t>reperire</w:t>
      </w:r>
      <w:proofErr w:type="gramEnd"/>
      <w:r>
        <w:t xml:space="preserve"> la liquidità necessaria alla realizzazione dell’investimento attraverso ogni forma di finanziamento consentita dalla legge.</w:t>
      </w:r>
    </w:p>
    <w:p w14:paraId="59B2B267" w14:textId="77777777" w:rsidR="007E40EC" w:rsidRDefault="00A935D2">
      <w:pPr>
        <w:pStyle w:val="Standard"/>
        <w:jc w:val="both"/>
      </w:pPr>
      <w:r>
        <w:t xml:space="preserve">Il presente piano economico e finanziario di massima è finalizzato </w:t>
      </w:r>
      <w:proofErr w:type="gramStart"/>
      <w:r>
        <w:t>ad</w:t>
      </w:r>
      <w:proofErr w:type="gramEnd"/>
      <w:r>
        <w:t xml:space="preserve"> individuare la dinamica finanziaria generata dalla realizzazione e gestione del bar “CAFFE’ LETTERARIO”, tramite la predisposizione di un modello in grado di quantificare i costi di realizzazione, di gestione e di manutenzione e di individuare l’equilibrio economico e finanziario complessivo dell’iniziativa di investimento.</w:t>
      </w:r>
    </w:p>
    <w:p w14:paraId="3772EDCA" w14:textId="77777777" w:rsidR="007E40EC" w:rsidRDefault="00A935D2">
      <w:pPr>
        <w:pStyle w:val="Standard"/>
        <w:jc w:val="both"/>
      </w:pPr>
      <w:r>
        <w:t xml:space="preserve">Il quadro economico dell’investimento ammonta complessivamente </w:t>
      </w:r>
      <w:proofErr w:type="gramStart"/>
      <w:r>
        <w:t>ad</w:t>
      </w:r>
      <w:proofErr w:type="gramEnd"/>
      <w:r>
        <w:t xml:space="preserve"> euro </w:t>
      </w:r>
      <w:r w:rsidRPr="007E14FC">
        <w:t>27.000,00 IVA</w:t>
      </w:r>
      <w:r>
        <w:t xml:space="preserve"> esclusa. </w:t>
      </w:r>
      <w:proofErr w:type="gramStart"/>
      <w:r>
        <w:t xml:space="preserve">Si </w:t>
      </w:r>
      <w:proofErr w:type="gramEnd"/>
      <w:r>
        <w:t>immagina un investimento composto per il cinquanta percento da capitale proprio e per il rimanente cinquanta percento da capitale di prestito.</w:t>
      </w:r>
    </w:p>
    <w:p w14:paraId="4F192617" w14:textId="77777777" w:rsidR="007E40EC" w:rsidRDefault="007E40EC">
      <w:pPr>
        <w:pStyle w:val="Standard"/>
        <w:jc w:val="both"/>
      </w:pPr>
    </w:p>
    <w:p w14:paraId="12D713AE" w14:textId="77777777" w:rsidR="007E40EC" w:rsidRDefault="007E40EC">
      <w:pPr>
        <w:pStyle w:val="Standard"/>
        <w:jc w:val="both"/>
      </w:pPr>
    </w:p>
    <w:p w14:paraId="601AAD16" w14:textId="77777777" w:rsidR="007E40EC" w:rsidRDefault="007E40EC">
      <w:pPr>
        <w:pStyle w:val="Standard"/>
        <w:jc w:val="both"/>
      </w:pPr>
    </w:p>
    <w:p w14:paraId="7A6F0BA4" w14:textId="77777777" w:rsidR="007E40EC" w:rsidRDefault="007E40EC">
      <w:pPr>
        <w:pStyle w:val="Standard"/>
        <w:jc w:val="both"/>
      </w:pPr>
    </w:p>
    <w:p w14:paraId="111E8CF0" w14:textId="77777777" w:rsidR="007E40EC" w:rsidRDefault="007E40EC">
      <w:pPr>
        <w:pStyle w:val="Standard"/>
        <w:jc w:val="both"/>
      </w:pPr>
    </w:p>
    <w:p w14:paraId="5C119E7D" w14:textId="77777777" w:rsidR="007E40EC" w:rsidRDefault="007E40EC">
      <w:pPr>
        <w:pStyle w:val="Standard"/>
        <w:jc w:val="both"/>
      </w:pPr>
    </w:p>
    <w:p w14:paraId="2AFA104E" w14:textId="77777777" w:rsidR="007E40EC" w:rsidRDefault="007E40EC">
      <w:pPr>
        <w:pStyle w:val="Standard"/>
        <w:jc w:val="both"/>
      </w:pPr>
    </w:p>
    <w:p w14:paraId="56505395" w14:textId="77777777" w:rsidR="007E40EC" w:rsidRDefault="007E40EC">
      <w:pPr>
        <w:pStyle w:val="Standard"/>
        <w:jc w:val="both"/>
      </w:pPr>
    </w:p>
    <w:p w14:paraId="62A34D66" w14:textId="77777777" w:rsidR="007E40EC" w:rsidRDefault="007E40EC">
      <w:pPr>
        <w:pStyle w:val="Standard"/>
        <w:jc w:val="both"/>
      </w:pPr>
    </w:p>
    <w:p w14:paraId="2DDD2CD4" w14:textId="77777777" w:rsidR="007E40EC" w:rsidRDefault="007E40EC">
      <w:pPr>
        <w:pStyle w:val="Standard"/>
        <w:jc w:val="both"/>
      </w:pPr>
    </w:p>
    <w:p w14:paraId="190D94A3" w14:textId="77777777" w:rsidR="007E40EC" w:rsidRDefault="007E40EC">
      <w:pPr>
        <w:pStyle w:val="Standard"/>
        <w:jc w:val="both"/>
      </w:pPr>
    </w:p>
    <w:p w14:paraId="390BFFF7" w14:textId="77777777" w:rsidR="007E40EC" w:rsidRDefault="007E40EC">
      <w:pPr>
        <w:pStyle w:val="Standard"/>
        <w:jc w:val="both"/>
      </w:pPr>
    </w:p>
    <w:p w14:paraId="1C677CE7" w14:textId="77777777" w:rsidR="007E40EC" w:rsidRDefault="007E40EC">
      <w:pPr>
        <w:pStyle w:val="Standard"/>
        <w:jc w:val="both"/>
      </w:pPr>
    </w:p>
    <w:p w14:paraId="492F590C" w14:textId="77777777" w:rsidR="007E40EC" w:rsidRDefault="007E40EC">
      <w:pPr>
        <w:pStyle w:val="Standard"/>
        <w:jc w:val="both"/>
      </w:pPr>
    </w:p>
    <w:p w14:paraId="387804DD" w14:textId="77777777" w:rsidR="007E40EC" w:rsidRDefault="007E40EC">
      <w:pPr>
        <w:pStyle w:val="Standard"/>
        <w:jc w:val="both"/>
      </w:pPr>
    </w:p>
    <w:p w14:paraId="6F5F7483" w14:textId="77777777" w:rsidR="007E40EC" w:rsidRDefault="007E40EC">
      <w:pPr>
        <w:pStyle w:val="Standard"/>
        <w:jc w:val="both"/>
      </w:pPr>
    </w:p>
    <w:p w14:paraId="3C05CAD0" w14:textId="77777777" w:rsidR="007E40EC" w:rsidRDefault="00A935D2">
      <w:pPr>
        <w:pStyle w:val="Standard"/>
        <w:jc w:val="both"/>
        <w:rPr>
          <w:b/>
        </w:rPr>
      </w:pPr>
      <w:r>
        <w:rPr>
          <w:b/>
        </w:rPr>
        <w:lastRenderedPageBreak/>
        <w:t xml:space="preserve">2. Il </w:t>
      </w:r>
      <w:proofErr w:type="gramStart"/>
      <w:r>
        <w:rPr>
          <w:b/>
        </w:rPr>
        <w:t>contesto</w:t>
      </w:r>
      <w:proofErr w:type="gramEnd"/>
      <w:r>
        <w:rPr>
          <w:b/>
        </w:rPr>
        <w:t xml:space="preserve"> socio-economico</w:t>
      </w:r>
    </w:p>
    <w:p w14:paraId="454265E7" w14:textId="77777777" w:rsidR="007E40EC" w:rsidRDefault="00A935D2">
      <w:pPr>
        <w:pStyle w:val="Standard"/>
        <w:jc w:val="both"/>
      </w:pPr>
      <w:r>
        <w:t>Il servizio sarà effettuato a favore dei dipendenti della Fondazione, dei visitatori, degli eventuali ospi</w:t>
      </w:r>
      <w:r w:rsidRPr="00261C06">
        <w:t xml:space="preserve">ti delle manifestazioni e di quanti operino, a vario titolo, all’interno della sede stessa, compreso eventuali </w:t>
      </w:r>
      <w:proofErr w:type="gramStart"/>
      <w:r w:rsidRPr="00261C06">
        <w:t>fruitori</w:t>
      </w:r>
      <w:proofErr w:type="gramEnd"/>
      <w:r w:rsidRPr="00261C06">
        <w:t xml:space="preserve"> esterni che accederanno esclusivamente dall’ingresso autonomo esterno.</w:t>
      </w:r>
    </w:p>
    <w:p w14:paraId="1F4C2EAE" w14:textId="77777777" w:rsidR="007E40EC" w:rsidRDefault="00A935D2">
      <w:pPr>
        <w:pStyle w:val="Standard"/>
        <w:jc w:val="both"/>
      </w:pPr>
      <w:r>
        <w:t xml:space="preserve">Per ogni utile riferimento, si fa presente che le valutazioni economiche devono tenere conto del </w:t>
      </w:r>
      <w:proofErr w:type="gramStart"/>
      <w:r>
        <w:t>contesto</w:t>
      </w:r>
      <w:proofErr w:type="gramEnd"/>
      <w:r>
        <w:t xml:space="preserve"> cui è inserita la sede della Fondazione e degli sviluppi turistici degli ultimi anni che hanno interessato la Fondazione stessa ed il Comune di Polignano a Mare in maniera costante.</w:t>
      </w:r>
    </w:p>
    <w:p w14:paraId="48A781EE" w14:textId="77777777" w:rsidR="007E40EC" w:rsidRDefault="00A935D2">
      <w:pPr>
        <w:pStyle w:val="Standard"/>
        <w:jc w:val="both"/>
      </w:pPr>
      <w:r>
        <w:t>I valori sopra riportati sono da ritenersi puramente indicativi e presuntivi.</w:t>
      </w:r>
    </w:p>
    <w:p w14:paraId="5D30748E" w14:textId="77777777" w:rsidR="007E40EC" w:rsidRDefault="00A935D2">
      <w:pPr>
        <w:pStyle w:val="Standard"/>
        <w:jc w:val="both"/>
        <w:rPr>
          <w:b/>
        </w:rPr>
      </w:pPr>
      <w:r>
        <w:t xml:space="preserve">Si evidenzia che nella sede, </w:t>
      </w:r>
      <w:proofErr w:type="gramStart"/>
      <w:r>
        <w:t>attualmente</w:t>
      </w:r>
      <w:proofErr w:type="gramEnd"/>
      <w:r>
        <w:t>, non sono presenti i servizi di bar e catering e che i dati sono stati calcolati anche sulla base della indagine di mercato svolta.</w:t>
      </w:r>
    </w:p>
    <w:p w14:paraId="26F45769" w14:textId="77777777" w:rsidR="007E40EC" w:rsidRDefault="00A935D2">
      <w:pPr>
        <w:pStyle w:val="Standard"/>
        <w:jc w:val="both"/>
        <w:rPr>
          <w:b/>
        </w:rPr>
      </w:pPr>
      <w:r>
        <w:rPr>
          <w:b/>
        </w:rPr>
        <w:t xml:space="preserve">3. Caratteristiche </w:t>
      </w:r>
      <w:proofErr w:type="gramStart"/>
      <w:r>
        <w:rPr>
          <w:b/>
        </w:rPr>
        <w:t>ed</w:t>
      </w:r>
      <w:proofErr w:type="gramEnd"/>
      <w:r>
        <w:rPr>
          <w:b/>
        </w:rPr>
        <w:t xml:space="preserve"> oggetto della concessione</w:t>
      </w:r>
    </w:p>
    <w:p w14:paraId="06CA193C" w14:textId="77777777" w:rsidR="007E40EC" w:rsidRDefault="00A935D2">
      <w:pPr>
        <w:pStyle w:val="Standard"/>
        <w:jc w:val="both"/>
      </w:pPr>
      <w:r>
        <w:t xml:space="preserve">La concessione ha </w:t>
      </w:r>
      <w:proofErr w:type="gramStart"/>
      <w:r>
        <w:t>ad</w:t>
      </w:r>
      <w:proofErr w:type="gramEnd"/>
      <w:r>
        <w:t xml:space="preserve"> oggetto la gestione del servizio di gestione bar e catering, da erogare presso la sede della Fondazione in Via Parco del Lauro, </w:t>
      </w:r>
      <w:r w:rsidR="007E14FC">
        <w:t>1</w:t>
      </w:r>
      <w:r>
        <w:t>19 – Polignano a Mare, per un periodo di cinque anni.</w:t>
      </w:r>
    </w:p>
    <w:p w14:paraId="1236CE38" w14:textId="77777777" w:rsidR="0029727A" w:rsidRPr="001A52E2" w:rsidRDefault="0029727A" w:rsidP="0029727A">
      <w:pPr>
        <w:pStyle w:val="Standard"/>
        <w:jc w:val="both"/>
      </w:pPr>
      <w:r w:rsidRPr="001A52E2">
        <w:t xml:space="preserve">Il bar si sviluppa complessivamente su un’area di </w:t>
      </w:r>
      <w:r w:rsidRPr="00226549">
        <w:t>107</w:t>
      </w:r>
      <w:r w:rsidRPr="001A52E2">
        <w:t xml:space="preserve"> mq così ripartita:</w:t>
      </w:r>
    </w:p>
    <w:p w14:paraId="5B91EF64" w14:textId="77777777" w:rsidR="0029727A" w:rsidRPr="001A52E2" w:rsidRDefault="0029727A" w:rsidP="0029727A">
      <w:pPr>
        <w:pStyle w:val="Standard"/>
        <w:jc w:val="both"/>
      </w:pPr>
      <w:r>
        <w:t>-</w:t>
      </w:r>
      <w:r w:rsidRPr="001A52E2">
        <w:t xml:space="preserve"> un locale da adibire a bar e </w:t>
      </w:r>
      <w:r>
        <w:t>CATERING</w:t>
      </w:r>
      <w:r w:rsidRPr="001A52E2">
        <w:t xml:space="preserve">, di circa mq </w:t>
      </w:r>
      <w:r w:rsidRPr="00226549">
        <w:t>22</w:t>
      </w:r>
      <w:r>
        <w:t xml:space="preserve"> </w:t>
      </w:r>
      <w:r w:rsidRPr="00226549">
        <w:t>(sala caffè in continuo uso al concessionario)</w:t>
      </w:r>
      <w:r w:rsidRPr="001A52E2">
        <w:t>;</w:t>
      </w:r>
    </w:p>
    <w:p w14:paraId="0899C040" w14:textId="77777777" w:rsidR="0029727A" w:rsidRPr="001A52E2" w:rsidRDefault="0029727A" w:rsidP="0029727A">
      <w:pPr>
        <w:pStyle w:val="Standard"/>
        <w:jc w:val="both"/>
      </w:pPr>
      <w:r>
        <w:t>-</w:t>
      </w:r>
      <w:r w:rsidRPr="001A52E2">
        <w:t xml:space="preserve"> </w:t>
      </w:r>
      <w:r w:rsidRPr="00226549">
        <w:t xml:space="preserve">una sala di circa mq 85 (sala interna uso promiscuo con la FONDAZIONE), utilizzabile dal concessionario per 180 giorni </w:t>
      </w:r>
      <w:proofErr w:type="gramStart"/>
      <w:r w:rsidRPr="00226549">
        <w:t>all’</w:t>
      </w:r>
      <w:proofErr w:type="gramEnd"/>
      <w:r w:rsidRPr="00226549">
        <w:t xml:space="preserve">anno, </w:t>
      </w:r>
      <w:r>
        <w:t xml:space="preserve">da individuarsi </w:t>
      </w:r>
      <w:r w:rsidRPr="00226549">
        <w:t xml:space="preserve">in condivisione con la FONDAZIONE, previo calendario bimestrale. Detta sala dovrà essere condizionata climaticamente a cura e spese del concessionario </w:t>
      </w:r>
      <w:proofErr w:type="gramStart"/>
      <w:r>
        <w:t>ed</w:t>
      </w:r>
      <w:proofErr w:type="gramEnd"/>
      <w:r>
        <w:t xml:space="preserve"> ove necessario, unitamente a</w:t>
      </w:r>
      <w:r w:rsidRPr="00226549">
        <w:t>i locali della FONDAZIONE; sarà possibile effettuare concerti musicali dopo la chiusura del museo (ore 21:00) e, comunque, previo accordo con la Fondazione.</w:t>
      </w:r>
    </w:p>
    <w:p w14:paraId="0D710077" w14:textId="77777777" w:rsidR="0029727A" w:rsidRDefault="0029727A" w:rsidP="0029727A">
      <w:pPr>
        <w:pStyle w:val="Standard"/>
        <w:jc w:val="both"/>
        <w:rPr>
          <w:highlight w:val="yellow"/>
        </w:rPr>
      </w:pPr>
      <w:r w:rsidRPr="00765276">
        <w:t xml:space="preserve">- </w:t>
      </w:r>
      <w:proofErr w:type="spellStart"/>
      <w:r w:rsidRPr="00765276">
        <w:t>dehor</w:t>
      </w:r>
      <w:proofErr w:type="spellEnd"/>
      <w:r w:rsidRPr="00765276">
        <w:t xml:space="preserve"> esterno, terrazzo</w:t>
      </w:r>
      <w:r>
        <w:t xml:space="preserve"> (da allestire a cura e spese del concessionario</w:t>
      </w:r>
      <w:r w:rsidR="00094B4F">
        <w:t xml:space="preserve"> nel rispetto degli obblighi </w:t>
      </w:r>
      <w:proofErr w:type="gramStart"/>
      <w:r w:rsidR="00094B4F">
        <w:t>di</w:t>
      </w:r>
      <w:proofErr w:type="gramEnd"/>
      <w:r w:rsidR="00094B4F">
        <w:t xml:space="preserve"> legge</w:t>
      </w:r>
      <w:r>
        <w:t>)</w:t>
      </w:r>
      <w:r w:rsidRPr="00765276">
        <w:t xml:space="preserve">; </w:t>
      </w:r>
    </w:p>
    <w:p w14:paraId="432B84F6" w14:textId="77777777" w:rsidR="0029727A" w:rsidRPr="001A52E2" w:rsidRDefault="0029727A" w:rsidP="0029727A">
      <w:pPr>
        <w:pStyle w:val="Standard"/>
        <w:jc w:val="both"/>
      </w:pPr>
      <w:r>
        <w:t>-</w:t>
      </w:r>
      <w:r w:rsidRPr="001A52E2">
        <w:t xml:space="preserve"> un servizio igienico riservato di circa mq </w:t>
      </w:r>
      <w:proofErr w:type="gramStart"/>
      <w:r w:rsidRPr="001A52E2">
        <w:t>3</w:t>
      </w:r>
      <w:proofErr w:type="gramEnd"/>
      <w:r w:rsidRPr="001A52E2">
        <w:t>.</w:t>
      </w:r>
    </w:p>
    <w:p w14:paraId="77989FE4" w14:textId="77777777" w:rsidR="007E40EC" w:rsidRDefault="00A935D2">
      <w:pPr>
        <w:pStyle w:val="Standard"/>
        <w:jc w:val="both"/>
      </w:pPr>
      <w:proofErr w:type="gramStart"/>
      <w:r>
        <w:t xml:space="preserve">Si </w:t>
      </w:r>
      <w:proofErr w:type="gramEnd"/>
      <w:r>
        <w:t xml:space="preserve">ipotizza un’affluenza giornaliera di circa 140 persone con una consumazione media pari ad euro 2,90 (al netto di Iva) per un valore complessivo annuo pari a circa euro 127.000,00. La stima riportata, </w:t>
      </w:r>
      <w:proofErr w:type="gramStart"/>
      <w:r>
        <w:t>ad</w:t>
      </w:r>
      <w:proofErr w:type="gramEnd"/>
      <w:r>
        <w:t xml:space="preserve"> ogni buon fine, è calcolata sulla media tra utenti del servizio bar e catering incluso il periodo primaverile ed estivo. </w:t>
      </w:r>
    </w:p>
    <w:p w14:paraId="353AD574" w14:textId="77777777" w:rsidR="007E40EC" w:rsidRDefault="00A935D2">
      <w:pPr>
        <w:pStyle w:val="Standard"/>
        <w:jc w:val="both"/>
      </w:pPr>
      <w:r>
        <w:t>4. Descrizione degli investimenti</w:t>
      </w:r>
    </w:p>
    <w:p w14:paraId="2D1BA513" w14:textId="77777777" w:rsidR="007E40EC" w:rsidRDefault="00A935D2">
      <w:pPr>
        <w:pStyle w:val="Standard"/>
        <w:jc w:val="both"/>
      </w:pPr>
      <w:r>
        <w:t xml:space="preserve">Dettaglio delle spese del programma (al netto dell’I.V.A.): </w:t>
      </w:r>
    </w:p>
    <w:p w14:paraId="18988CE4" w14:textId="77777777" w:rsidR="007E40EC" w:rsidRDefault="00A935D2">
      <w:pPr>
        <w:pStyle w:val="Standard"/>
        <w:jc w:val="both"/>
        <w:rPr>
          <w:u w:val="single"/>
        </w:rPr>
      </w:pPr>
      <w:r>
        <w:rPr>
          <w:u w:val="single"/>
        </w:rPr>
        <w:t>Descrizione Spese e Importi</w:t>
      </w:r>
    </w:p>
    <w:p w14:paraId="2F61C924" w14:textId="77777777" w:rsidR="007E40EC" w:rsidRDefault="00A935D2">
      <w:pPr>
        <w:pStyle w:val="Standard"/>
        <w:jc w:val="both"/>
      </w:pPr>
      <w:r>
        <w:t>Arredo vario € 4.000,00</w:t>
      </w:r>
    </w:p>
    <w:p w14:paraId="556E3A66" w14:textId="77777777" w:rsidR="007E40EC" w:rsidRDefault="00A935D2">
      <w:pPr>
        <w:pStyle w:val="Standard"/>
        <w:jc w:val="both"/>
      </w:pPr>
      <w:r>
        <w:t>Attrezzature Bar € 10.000,00</w:t>
      </w:r>
    </w:p>
    <w:p w14:paraId="00C35079" w14:textId="77777777" w:rsidR="007E40EC" w:rsidRDefault="00A935D2">
      <w:pPr>
        <w:pStyle w:val="Standard"/>
        <w:jc w:val="both"/>
      </w:pPr>
      <w:r>
        <w:t>Impianti € 6.000,00</w:t>
      </w:r>
    </w:p>
    <w:p w14:paraId="5FF2D745" w14:textId="77777777" w:rsidR="007E40EC" w:rsidRDefault="00A935D2">
      <w:pPr>
        <w:pStyle w:val="Standard"/>
        <w:jc w:val="both"/>
      </w:pPr>
      <w:r>
        <w:t>Costi immateriali € 7.000,00</w:t>
      </w:r>
    </w:p>
    <w:p w14:paraId="02395D72" w14:textId="77777777" w:rsidR="007E40EC" w:rsidRDefault="00A935D2">
      <w:pPr>
        <w:pStyle w:val="Standard"/>
        <w:jc w:val="both"/>
      </w:pPr>
      <w:r>
        <w:t>TOTALE INVESTIMENTI € 27.000,00</w:t>
      </w:r>
    </w:p>
    <w:p w14:paraId="6DC28227" w14:textId="77777777" w:rsidR="007E40EC" w:rsidRDefault="00A935D2">
      <w:pPr>
        <w:pStyle w:val="Standard"/>
        <w:jc w:val="both"/>
      </w:pPr>
      <w:r>
        <w:lastRenderedPageBreak/>
        <w:t xml:space="preserve">Per quanto riguarda il personale, e quindi la stima dei costi delle risorse umane, </w:t>
      </w:r>
      <w:proofErr w:type="gramStart"/>
      <w:r>
        <w:t xml:space="preserve">si </w:t>
      </w:r>
      <w:proofErr w:type="gramEnd"/>
      <w:r>
        <w:t>ipotizza un costo annuo relativo</w:t>
      </w:r>
      <w:r w:rsidR="00261C06">
        <w:t xml:space="preserve"> a</w:t>
      </w:r>
      <w:r>
        <w:t xml:space="preserve"> n. 2 unità assunte di cui una a tempo parziale.</w:t>
      </w:r>
    </w:p>
    <w:p w14:paraId="5A0804A9" w14:textId="77777777" w:rsidR="007E40EC" w:rsidRDefault="00A935D2">
      <w:pPr>
        <w:pStyle w:val="Standard"/>
        <w:jc w:val="both"/>
        <w:rPr>
          <w:b/>
        </w:rPr>
      </w:pPr>
      <w:r>
        <w:rPr>
          <w:b/>
        </w:rPr>
        <w:t>5. Piano economico-finanziario di massima</w:t>
      </w:r>
    </w:p>
    <w:p w14:paraId="00A7A6EF" w14:textId="77777777" w:rsidR="007E40EC" w:rsidRDefault="00A935D2">
      <w:pPr>
        <w:pStyle w:val="Standard"/>
        <w:jc w:val="both"/>
      </w:pPr>
      <w:r>
        <w:t xml:space="preserve">Di seguito è rappresentato il conto economico previsionale dell’iniziativa. Si stima per l’iniziativa proposta il conto economico per i primi cinque anni di attività prevedendo una crescita costante ogni anno </w:t>
      </w:r>
      <w:proofErr w:type="gramStart"/>
      <w:r>
        <w:t>del</w:t>
      </w:r>
      <w:r w:rsidR="00261C06">
        <w:t>l’</w:t>
      </w:r>
      <w:r>
        <w:t xml:space="preserve"> </w:t>
      </w:r>
      <w:proofErr w:type="gramEnd"/>
      <w:r>
        <w:t xml:space="preserve">1%. </w:t>
      </w: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120"/>
        <w:gridCol w:w="1120"/>
        <w:gridCol w:w="1120"/>
        <w:gridCol w:w="1120"/>
        <w:gridCol w:w="1120"/>
      </w:tblGrid>
      <w:tr w:rsidR="00261C06" w14:paraId="1B3CD8D0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3ABBC2A4" w14:textId="77777777" w:rsidR="00261C06" w:rsidRP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 w:rsidRPr="00261C06">
              <w:rPr>
                <w:rFonts w:eastAsia="Times New Roman"/>
                <w:b/>
                <w:bCs/>
                <w:color w:val="000000"/>
                <w:kern w:val="0"/>
                <w:sz w:val="20"/>
                <w:szCs w:val="16"/>
                <w:lang w:eastAsia="it-IT"/>
              </w:rPr>
              <w:t>Fatturato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026E0AD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E861CA5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A05D0F0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C2D6FB6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62381F2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261C06" w14:paraId="61676004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08566A60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63B8AF0" w14:textId="77777777" w:rsidR="00261C06" w:rsidRDefault="00261C06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201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54DFD84" w14:textId="77777777" w:rsidR="00261C06" w:rsidRDefault="00261C06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C03932E" w14:textId="77777777" w:rsidR="00261C06" w:rsidRDefault="00261C06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03250EF" w14:textId="77777777" w:rsidR="00261C06" w:rsidRDefault="00261C06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557B92B" w14:textId="77777777" w:rsidR="00261C06" w:rsidRDefault="00261C06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3</w:t>
            </w:r>
          </w:p>
        </w:tc>
      </w:tr>
      <w:tr w:rsidR="00261C06" w14:paraId="501E5908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5DB5889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Cornetto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AE06CDD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12.480,00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EBD461B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12.600,00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E376242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12.732,00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DC15FE8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12.864,00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E8930B4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12.996,00</w:t>
            </w:r>
          </w:p>
        </w:tc>
      </w:tr>
      <w:tr w:rsidR="00261C06" w14:paraId="03094AA7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74A7A79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Cappuccino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F494362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7.488,00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8AACEC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7.560,00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BCABF3E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7.632,00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17948D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7.704,00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FAAB5B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7.776,00</w:t>
            </w:r>
          </w:p>
        </w:tc>
      </w:tr>
      <w:tr w:rsidR="00261C06" w14:paraId="1ECD3F46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681AC2E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Caffè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7B72D72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9.360,00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9571288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9.456,00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6EB403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9.552,00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DFCB14D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9.648,00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22ACB7C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9.744,00</w:t>
            </w:r>
          </w:p>
        </w:tc>
      </w:tr>
      <w:tr w:rsidR="00261C06" w14:paraId="04A2B444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3011122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Espressino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AFB21BE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5.148,00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F4A2814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5.200,80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F047A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5.253,60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EF8C673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5.306,40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E21740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5.359,20</w:t>
            </w:r>
          </w:p>
        </w:tc>
      </w:tr>
      <w:tr w:rsidR="00261C06" w14:paraId="7BEE0E1D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0EA4926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Aperitivi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7053CB3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11.700,00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EF68FA5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11.820,00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3F1870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11.940,00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3D517F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12.060,00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1044593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12.180,00</w:t>
            </w:r>
          </w:p>
        </w:tc>
      </w:tr>
      <w:tr w:rsidR="00261C06" w14:paraId="2B0AFDAD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6A05615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Gelati confezionati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0136509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3.120,00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317B20F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3.144,00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F16AE3C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3.168,00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427118D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3.192,00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9D9291C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3.216,00</w:t>
            </w:r>
          </w:p>
        </w:tc>
      </w:tr>
      <w:tr w:rsidR="00261C06" w14:paraId="4C11E787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FB29BE7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Frullati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213E6C0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6.240,00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883AED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6.288,00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549748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6.336,00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0773F9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6.384,00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F8DBB8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6.432,00</w:t>
            </w:r>
          </w:p>
        </w:tc>
      </w:tr>
      <w:tr w:rsidR="00261C06" w14:paraId="231C1F73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5EBFD08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Centrifugati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95717B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7.800,00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D34977A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7.860,00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5A3E34F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7.920,00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B542C2E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7.980,00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2FE2CA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8.040,00</w:t>
            </w:r>
          </w:p>
        </w:tc>
      </w:tr>
      <w:tr w:rsidR="00261C06" w14:paraId="3F9F826D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8EF3DDF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Panini e simili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D25453D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31.200,00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9DE1BF5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31.500,00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8E38E4C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31.800,00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CD6E309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32.100,00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D0998D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32.400,00</w:t>
            </w:r>
          </w:p>
        </w:tc>
      </w:tr>
      <w:tr w:rsidR="00261C06" w14:paraId="10EF9F32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55B5F05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Varie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D593155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3.120,00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1C68702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3.156,00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363EC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3.192,00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4124295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3.228,00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91517A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3.264,00</w:t>
            </w:r>
          </w:p>
        </w:tc>
      </w:tr>
      <w:tr w:rsidR="00261C06" w14:paraId="6700B43F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3BB0DF7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Bevande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139D8A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15.600,00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D8F84AE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15.768,00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5E20757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15.936,00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B405F76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16.104,00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F9AF6F4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16.272,00</w:t>
            </w:r>
          </w:p>
        </w:tc>
      </w:tr>
      <w:tr w:rsidR="00261C06" w14:paraId="45B53DB4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10FCB47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Catering/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Serv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. Sala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5F615F7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14.400,00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CB5A74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14.400,00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FDE52A3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14.400,00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F1511F3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14.400,00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65E9635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14.400,00</w:t>
            </w:r>
          </w:p>
        </w:tc>
      </w:tr>
      <w:tr w:rsidR="00261C06" w14:paraId="5614A7CE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50D030C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F3AC956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D4ACA40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93DC333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1768672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B109443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261C06" w14:paraId="4739E191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1765F07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5287D89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127.656,00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D64E37C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128.752,80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277E969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129.861,60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D42210F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130.970,40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CFB13F7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132.079,20</w:t>
            </w:r>
          </w:p>
        </w:tc>
      </w:tr>
    </w:tbl>
    <w:p w14:paraId="128F54D1" w14:textId="77777777" w:rsidR="007E40EC" w:rsidRDefault="007E40EC">
      <w:pPr>
        <w:pStyle w:val="Standard"/>
        <w:spacing w:after="0" w:line="300" w:lineRule="exact"/>
        <w:jc w:val="both"/>
      </w:pP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120"/>
        <w:gridCol w:w="1120"/>
        <w:gridCol w:w="1120"/>
        <w:gridCol w:w="1120"/>
        <w:gridCol w:w="1120"/>
      </w:tblGrid>
      <w:tr w:rsidR="007E40EC" w14:paraId="668B51D9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FB580F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Costi Variabili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12034B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B92BC1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746FBB2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932DC1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F3244EF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348F5DCC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9CFE78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7F2A70D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201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2FF5240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032164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B24BF63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BCF2370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3</w:t>
            </w:r>
          </w:p>
        </w:tc>
      </w:tr>
      <w:tr w:rsidR="007E40EC" w14:paraId="0FDEAE0A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B0E3A5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Materie Prime Cornetto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BE116A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4.368,00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52E4EF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4.410,00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C976AC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4.456,20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7E7944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4.502,40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A31498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4.548,60</w:t>
            </w:r>
          </w:p>
        </w:tc>
      </w:tr>
      <w:tr w:rsidR="007E40EC" w14:paraId="44F9A1BA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CC781F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Materie Prime Cappuccino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D27DE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1.872,00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23513B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1.890,00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941EC3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1.908,00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10F84F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1.926,00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6DF91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1.944,00</w:t>
            </w:r>
          </w:p>
        </w:tc>
      </w:tr>
      <w:tr w:rsidR="007E40EC" w14:paraId="056B60D5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7BE233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Materie Prime Caffè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45A4CE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1.872,00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745E64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1.891,20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FA11FB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1.910,40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34B9AF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1.929,60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684883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1.948,80</w:t>
            </w:r>
          </w:p>
        </w:tc>
      </w:tr>
      <w:tr w:rsidR="007E40EC" w14:paraId="34FFEFB6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36E889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 xml:space="preserve">Materie Prime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Espressino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27B186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1.029,60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7649B9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1.040,16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9B2883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1.050,72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1215A7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1.061,28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798339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1.071,84</w:t>
            </w:r>
          </w:p>
        </w:tc>
      </w:tr>
      <w:tr w:rsidR="007E40EC" w14:paraId="2FC9E135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99BFA5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Materie Prime Aperitivi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FE105D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2.925,00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6AB236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2.955,00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E7A667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2.985,00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8B9853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3.015,00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39ADB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3.045,00</w:t>
            </w:r>
          </w:p>
        </w:tc>
      </w:tr>
      <w:tr w:rsidR="007E40EC" w14:paraId="61B86415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ED169A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Materie Prime Gelati confezionati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2CFC6E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2.028,00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0E301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2.043,60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35871D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2.059,20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313625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2.074,80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9B0E11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2.090,40</w:t>
            </w:r>
          </w:p>
        </w:tc>
      </w:tr>
      <w:tr w:rsidR="007E40EC" w14:paraId="7A6766F7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9E457F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Materie Prime Frullati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80F6C8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1.560,00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2C27FA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1.572,00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A928D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1.584,00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691099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1.596,00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529A9E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1.608,00</w:t>
            </w:r>
          </w:p>
        </w:tc>
      </w:tr>
      <w:tr w:rsidR="007E40EC" w14:paraId="130CF997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BE61B7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Materie Prime Centrifugati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5B7DF3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1.950,00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9FB5C7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1.965,00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B16CAB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1.980,00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46CDDD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1.995,00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F87AD3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2.010,00</w:t>
            </w:r>
          </w:p>
        </w:tc>
      </w:tr>
      <w:tr w:rsidR="007E40EC" w14:paraId="4EBC735F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3CFCAD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Materie Prime Panini e simili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5A510F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6.240,00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88A79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6.300,00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91960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6.360,00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536874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6.420,00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7EF9F3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6.480,00</w:t>
            </w:r>
          </w:p>
        </w:tc>
      </w:tr>
      <w:tr w:rsidR="007E40EC" w14:paraId="4B8B3612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EA2F4A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Materie Prime Varie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908F2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1.248,00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D06E8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1.262,40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72D4D6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1.276,80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FFFDEE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1.291,20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618413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1.305,60</w:t>
            </w:r>
          </w:p>
        </w:tc>
      </w:tr>
      <w:tr w:rsidR="007E40EC" w14:paraId="2DC0E4DC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6A62EE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Materie Prime Bevande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061152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3.900,00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775417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3.942,00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85DA3A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3.984,00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B5C690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4.026,00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3361B4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4.068,00</w:t>
            </w:r>
          </w:p>
        </w:tc>
      </w:tr>
      <w:tr w:rsidR="007E40EC" w14:paraId="6CA5CA11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C1887A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Materie Prime Catering/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Serv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 xml:space="preserve"> sala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4186F8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4.320,00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7A61E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4.320,00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A0BDEE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4.320,00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472E59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4.320,00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6DD8E3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4.320,00</w:t>
            </w:r>
          </w:p>
        </w:tc>
      </w:tr>
      <w:tr w:rsidR="007E40EC" w14:paraId="41A73403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vAlign w:val="bottom"/>
            <w:hideMark/>
          </w:tcPr>
          <w:p w14:paraId="2F45D23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49E019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CB0AD0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0EA492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704F05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385735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7AA18592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6833BA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393F9A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33.312,60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EDCD41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33.591,36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8C1ED3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33.874,32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2B750C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34.157,28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A268F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34.440,24</w:t>
            </w:r>
          </w:p>
        </w:tc>
      </w:tr>
    </w:tbl>
    <w:p w14:paraId="218E3AEF" w14:textId="77777777" w:rsidR="007E40EC" w:rsidRDefault="007E40EC">
      <w:pPr>
        <w:pStyle w:val="Standard"/>
        <w:jc w:val="both"/>
      </w:pP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120"/>
        <w:gridCol w:w="1120"/>
        <w:gridCol w:w="1120"/>
        <w:gridCol w:w="1120"/>
        <w:gridCol w:w="1120"/>
      </w:tblGrid>
      <w:tr w:rsidR="007E40EC" w14:paraId="074D699A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877B74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Costi Fissi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3BEA0B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329683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6902C5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40128E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B8BA53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053D9F3F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FD8E4C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ECD8A18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201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E37B8D3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ABA451B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6F9D71A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9BDE66B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2023</w:t>
            </w:r>
          </w:p>
        </w:tc>
      </w:tr>
      <w:tr w:rsidR="007E40EC" w14:paraId="57155FC9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812D77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Spese di pubblicità e promozioni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5E147D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1.800,00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E8F2D1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1.200,00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5C0FD8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7CA224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9173D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363A1A41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A087EB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Manutenzioni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2F1B3A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D86F07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CC36E9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076E97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CE7DDF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1.200,00</w:t>
            </w:r>
          </w:p>
        </w:tc>
      </w:tr>
      <w:tr w:rsidR="007E40EC" w14:paraId="3E6B7FC0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E0DEFD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Cancelleria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7B6650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B4F265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67EE58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D37FA3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786836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60,00</w:t>
            </w:r>
          </w:p>
        </w:tc>
      </w:tr>
      <w:tr w:rsidR="007E40EC" w14:paraId="4F25AB9B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D10BC3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 xml:space="preserve">Consulenze legali, fiscali, notarili,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ecc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611978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3.000,00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BEEA7B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3.000,00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DA55F5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3.000,00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C466A9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3.000,00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474C7E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3.000,00</w:t>
            </w:r>
          </w:p>
        </w:tc>
      </w:tr>
      <w:tr w:rsidR="007E40EC" w14:paraId="58374C14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335261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Utenze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903E0F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3.600,00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4DACAB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3.720,00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8A0680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3.780,00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CC4F88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3.840,00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B7EBD7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3.900,00</w:t>
            </w:r>
          </w:p>
        </w:tc>
      </w:tr>
      <w:tr w:rsidR="007E40EC" w14:paraId="2BDBECA7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C6E90E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Affitti e locazioni passive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B9CE8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13.200,00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B33E38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13.200,00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0ABD85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13.200,00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B97E4A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13.200,00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D2B294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13.200,00</w:t>
            </w:r>
          </w:p>
        </w:tc>
      </w:tr>
      <w:tr w:rsidR="007E40EC" w14:paraId="7E8A8F68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F12846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Spese amministrative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46D628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480,00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36A382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480,00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F8F8E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480,00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6725DE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480,00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C88935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480,00</w:t>
            </w:r>
          </w:p>
        </w:tc>
      </w:tr>
      <w:tr w:rsidR="007E40EC" w14:paraId="0123493E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4AC783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Premi assicurativi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78C1A4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1.200,00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4D85F1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1.200,00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BC504F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1.200,00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05D65F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1.200,00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1E22A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1.200,00</w:t>
            </w:r>
          </w:p>
        </w:tc>
      </w:tr>
      <w:tr w:rsidR="007E40EC" w14:paraId="07ECC323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1BD7F5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CA8F0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EDD2EB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6553CE2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F0D51E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D0B5C9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45A04BDA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106CFD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6102F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23.340,00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DBB819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22.860,00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D68539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22.320,00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65C268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22.380,00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83F760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23.040,00</w:t>
            </w:r>
          </w:p>
        </w:tc>
      </w:tr>
    </w:tbl>
    <w:p w14:paraId="318ACB74" w14:textId="77777777" w:rsidR="007E40EC" w:rsidRDefault="007E40EC">
      <w:pPr>
        <w:pStyle w:val="Standard"/>
        <w:jc w:val="both"/>
      </w:pP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120"/>
        <w:gridCol w:w="1120"/>
        <w:gridCol w:w="1120"/>
        <w:gridCol w:w="1120"/>
        <w:gridCol w:w="1120"/>
      </w:tblGrid>
      <w:tr w:rsidR="007E40EC" w14:paraId="15EDBC51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34ABF22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Costo manodopera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375101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CF81BD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551429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973ED3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F608C2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6A5D4DF0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C5E247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2AA26E0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201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4A22EF2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CEFF660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CCB691C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28C45C4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2023</w:t>
            </w:r>
          </w:p>
        </w:tc>
      </w:tr>
      <w:tr w:rsidR="007E40EC" w14:paraId="68923D9B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883D2F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Retribuzione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44050D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27.000,00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269905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27.270,00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6D3EDD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27.542,70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B592C5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27.818,13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06525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28.096,31</w:t>
            </w:r>
          </w:p>
        </w:tc>
      </w:tr>
      <w:tr w:rsidR="007E40EC" w14:paraId="7F3935CE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D52474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Straordinari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884BB0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540,00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70774F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545,40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41E68B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550,85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A4178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556,36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B27C18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561,93</w:t>
            </w:r>
          </w:p>
        </w:tc>
      </w:tr>
      <w:tr w:rsidR="007E40EC" w14:paraId="2FC18419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0D21C2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INPS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78E781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8.537,40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FA2744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8.622,77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653CB2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8.709,00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7A50DE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8.796,09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212368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8.884,05</w:t>
            </w:r>
          </w:p>
        </w:tc>
      </w:tr>
      <w:tr w:rsidR="007E40EC" w14:paraId="22ABF9B0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DF5846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INAIL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EE45A2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275,40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96346A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278,15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099A51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280,94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5F674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283,74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40AF02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286,58</w:t>
            </w:r>
          </w:p>
        </w:tc>
      </w:tr>
      <w:tr w:rsidR="007E40EC" w14:paraId="3721C945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A968F8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TFR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D0D2FE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2.065,50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DF335B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2.086,16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66078E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2.107,02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E0C3F4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2.128,09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6E4EB4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2.149,37</w:t>
            </w:r>
          </w:p>
        </w:tc>
      </w:tr>
      <w:tr w:rsidR="007E40EC" w14:paraId="5ADAE04A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6333FC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2345E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F3CC19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DBE3E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6C2B5D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6C5BC7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0A5F102B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9DB5B4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F49E8A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38.418,30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16ED5B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38.802,48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40983C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39.190,51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C1243C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39.582,41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3BE661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39.978,24</w:t>
            </w:r>
          </w:p>
        </w:tc>
      </w:tr>
    </w:tbl>
    <w:tbl>
      <w:tblPr>
        <w:tblpPr w:leftFromText="141" w:rightFromText="141" w:vertAnchor="text" w:horzAnchor="margin" w:tblpXSpec="center" w:tblpY="334"/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9"/>
        <w:gridCol w:w="1111"/>
        <w:gridCol w:w="1120"/>
        <w:gridCol w:w="1120"/>
        <w:gridCol w:w="1120"/>
        <w:gridCol w:w="1120"/>
      </w:tblGrid>
      <w:tr w:rsidR="00261C06" w14:paraId="11BC58BA" w14:textId="77777777" w:rsidTr="00261C06">
        <w:trPr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019B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AmmortamentI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9C29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865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BED2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5FA0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2ECD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261C06" w14:paraId="17E7DDE8" w14:textId="77777777" w:rsidTr="00261C06">
        <w:trPr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85E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5F5" w14:textId="77777777" w:rsidR="00261C06" w:rsidRDefault="00261C06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201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0AD7" w14:textId="77777777" w:rsidR="00261C06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C059" w14:textId="77777777" w:rsidR="00261C06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738" w14:textId="77777777" w:rsidR="00261C06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64B8" w14:textId="77777777" w:rsidR="00261C06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2023</w:t>
            </w:r>
          </w:p>
        </w:tc>
      </w:tr>
      <w:tr w:rsidR="00261C06" w14:paraId="0CCA6CC6" w14:textId="77777777" w:rsidTr="00261C06">
        <w:trPr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8CF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Arredo vario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5AA2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E618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07A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C887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C592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400,00</w:t>
            </w:r>
          </w:p>
        </w:tc>
      </w:tr>
      <w:tr w:rsidR="00261C06" w14:paraId="05545F1C" w14:textId="77777777" w:rsidTr="00261C06">
        <w:trPr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AFA3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Attrezzatura Bar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D389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0802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1B6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2C3C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C507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2.500,00</w:t>
            </w:r>
          </w:p>
        </w:tc>
      </w:tr>
      <w:tr w:rsidR="00261C06" w14:paraId="3DDE5B5C" w14:textId="77777777" w:rsidTr="00261C06">
        <w:trPr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62E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Impianti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9E3E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9ED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A026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C50C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1EC6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500,00</w:t>
            </w:r>
          </w:p>
        </w:tc>
      </w:tr>
      <w:tr w:rsidR="00261C06" w14:paraId="4987E168" w14:textId="77777777" w:rsidTr="00261C06">
        <w:trPr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B290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Altri costi immateriali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057F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1.400,00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A20C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1.400,00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4FB8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1.400,00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29DF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1.400,00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3CA9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1.400,00</w:t>
            </w:r>
          </w:p>
        </w:tc>
      </w:tr>
      <w:tr w:rsidR="00261C06" w14:paraId="5B292D26" w14:textId="77777777" w:rsidTr="00261C06">
        <w:trPr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2D97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FFC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595F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4537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0F3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BE3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261C06" w14:paraId="15EAC8A1" w14:textId="77777777" w:rsidTr="00261C06">
        <w:trPr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F25B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67F2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4.800,00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956B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4.800,00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EFEE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4.800,00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50EE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4.800,00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A1A3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4.800,00</w:t>
            </w:r>
          </w:p>
        </w:tc>
      </w:tr>
      <w:tr w:rsidR="00261C06" w14:paraId="25430F87" w14:textId="77777777" w:rsidTr="00261C06">
        <w:trPr>
          <w:trHeight w:val="240"/>
        </w:trPr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76DE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  <w:p w14:paraId="31200D33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  <w:p w14:paraId="35A71C65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  <w:p w14:paraId="66F91160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  <w:p w14:paraId="7C1C8309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  <w:p w14:paraId="6CDBF770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Finanziamento e Oneri finanziari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779A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28CA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78B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F7B0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261C06" w14:paraId="0153D048" w14:textId="77777777" w:rsidTr="00261C06">
        <w:trPr>
          <w:trHeight w:val="2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79CC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5316" w14:textId="77777777" w:rsidR="00261C06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53E1" w14:textId="77777777" w:rsidR="00261C06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8CE4" w14:textId="77777777" w:rsidR="00261C06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02D5" w14:textId="77777777" w:rsidR="00261C06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96D3" w14:textId="77777777" w:rsidR="00261C06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2023</w:t>
            </w:r>
          </w:p>
        </w:tc>
      </w:tr>
      <w:tr w:rsidR="00261C06" w14:paraId="61848AEF" w14:textId="77777777" w:rsidTr="00261C06">
        <w:trPr>
          <w:trHeight w:val="2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1368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Rata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2792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2.925,44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C026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3.191,38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6B87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3.191,38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E3B3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3.191,38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12B6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3.191,38</w:t>
            </w:r>
          </w:p>
        </w:tc>
      </w:tr>
      <w:tr w:rsidR="00261C06" w14:paraId="1E6B1357" w14:textId="77777777" w:rsidTr="00261C06">
        <w:trPr>
          <w:trHeight w:val="2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E338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Quota Capitale Rata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A08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2.145,77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417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2.497,73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7F5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2.672,57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058E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2.859,65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F139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3.059,82</w:t>
            </w:r>
          </w:p>
        </w:tc>
      </w:tr>
      <w:tr w:rsidR="00261C06" w14:paraId="3E075685" w14:textId="77777777" w:rsidTr="00261C06">
        <w:trPr>
          <w:trHeight w:val="2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BF5C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Quota Capitale Cumulata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DC39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2.145,77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7290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4.643,50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1D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7.316,07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F128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10.175,72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6A63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13.235,55</w:t>
            </w:r>
          </w:p>
        </w:tc>
      </w:tr>
      <w:tr w:rsidR="00261C06" w14:paraId="34FB91C8" w14:textId="77777777" w:rsidTr="00261C06">
        <w:trPr>
          <w:trHeight w:val="2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FE37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Oneri Finanziari Rata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4BEA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779,66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11DF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693,66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64E3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518,82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403D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331,74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53F3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131,56</w:t>
            </w:r>
          </w:p>
        </w:tc>
      </w:tr>
      <w:tr w:rsidR="00261C06" w14:paraId="6C4B857D" w14:textId="77777777" w:rsidTr="00261C06">
        <w:trPr>
          <w:trHeight w:val="2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6CEA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Debito Residuo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1CE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11.354,23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D5B5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8.856,50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3ECC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6.183,93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DADE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3.324,28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70C9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264,45</w:t>
            </w:r>
          </w:p>
        </w:tc>
      </w:tr>
    </w:tbl>
    <w:p w14:paraId="284D0EA3" w14:textId="77777777" w:rsidR="007E40EC" w:rsidRDefault="007E40EC">
      <w:pPr>
        <w:pStyle w:val="Standard"/>
        <w:jc w:val="both"/>
      </w:pPr>
    </w:p>
    <w:p w14:paraId="2F37515E" w14:textId="77777777" w:rsidR="007E40EC" w:rsidRDefault="007E40EC">
      <w:pPr>
        <w:pStyle w:val="Standard"/>
        <w:jc w:val="both"/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960"/>
        <w:gridCol w:w="960"/>
        <w:gridCol w:w="960"/>
        <w:gridCol w:w="960"/>
        <w:gridCol w:w="960"/>
      </w:tblGrid>
      <w:tr w:rsidR="007E40EC" w14:paraId="366D8551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83947EE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  <w:p w14:paraId="48896BEC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  <w:p w14:paraId="5AFE1D51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  <w:p w14:paraId="61B78B6F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  <w:p w14:paraId="596D0773" w14:textId="77777777" w:rsidR="00261C06" w:rsidRDefault="00261C06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  <w:p w14:paraId="46C3B6B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Imposte d'esercizio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4598EB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854A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A53A8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C22F8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A6C8A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3129311A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2A0408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D9500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E0824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F28DF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3D5B6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E959D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2ED26046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44D86A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IRES (aliquota 24%)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3407E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1F916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1981F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BDC5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1AA6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6AFE054C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7C41BC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A3334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3B152E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83D88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4D709C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E5E139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2023</w:t>
            </w:r>
          </w:p>
        </w:tc>
      </w:tr>
      <w:tr w:rsidR="007E40EC" w14:paraId="07AFB629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E1E1A4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Imponibile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3660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€ 27.005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CD9F3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€ 28.005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60D85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€ 29.158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77A2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€ 29.719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55AF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€ 29.689</w:t>
            </w:r>
          </w:p>
        </w:tc>
      </w:tr>
      <w:tr w:rsidR="007E40EC" w14:paraId="30BAB590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AEC031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Imposta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40163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€ 6.481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A071E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€ 6.721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3D85E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€ 6.998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7B02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€ 7.133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3CFCC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€ 7.125</w:t>
            </w:r>
          </w:p>
        </w:tc>
      </w:tr>
      <w:tr w:rsidR="007E40EC" w14:paraId="280A078C" w14:textId="77777777" w:rsidTr="00261C06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5D4298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4A268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557B2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F2202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865D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F8A62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13CBE690" w14:textId="77777777" w:rsidTr="00261C06">
        <w:trPr>
          <w:trHeight w:val="30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3D04B3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IRAP (aliquota 4,82%)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E36B02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CEB4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2A6AB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4DC91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8A84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5EF51618" w14:textId="77777777" w:rsidTr="00261C06">
        <w:trPr>
          <w:trHeight w:val="30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058DC1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FFED31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3B494A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778994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E5C99B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42D28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2023</w:t>
            </w:r>
          </w:p>
        </w:tc>
      </w:tr>
      <w:tr w:rsidR="007E40EC" w14:paraId="01208290" w14:textId="77777777" w:rsidTr="00261C06">
        <w:trPr>
          <w:trHeight w:val="30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B5D8A4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Valore della Produzione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8DE34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127.656,00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5460B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128.752,80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0F7BD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129.861,60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0DB5E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130.970,40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08228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132.079,20</w:t>
            </w:r>
          </w:p>
        </w:tc>
      </w:tr>
      <w:tr w:rsidR="007E40EC" w14:paraId="58D6A722" w14:textId="77777777" w:rsidTr="00261C06">
        <w:trPr>
          <w:trHeight w:val="30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73D892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C3E953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201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DAF98E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A4A5B6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760AF6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8F6306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2023</w:t>
            </w:r>
          </w:p>
        </w:tc>
      </w:tr>
      <w:tr w:rsidR="007E40EC" w14:paraId="0C8C881F" w14:textId="77777777" w:rsidTr="00261C06">
        <w:trPr>
          <w:trHeight w:val="30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DD6A7E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Costi della Produzione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F43FF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99.091,24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474BB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99.360,19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30628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99.666,01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41A87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100.587,96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E8D6F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102.126,92</w:t>
            </w:r>
          </w:p>
        </w:tc>
      </w:tr>
      <w:tr w:rsidR="007E40EC" w14:paraId="19459A47" w14:textId="77777777" w:rsidTr="00261C06">
        <w:trPr>
          <w:trHeight w:val="30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64ED7D2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A3C81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201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FD098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E225BF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CED1A7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4DAF2A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2023</w:t>
            </w:r>
          </w:p>
        </w:tc>
      </w:tr>
      <w:tr w:rsidR="007E40EC" w14:paraId="4B992710" w14:textId="77777777" w:rsidTr="00261C06">
        <w:trPr>
          <w:trHeight w:val="30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E3C5C3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Costo Personale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AED0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38.418,30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3AB6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38.802,48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2D53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39.190,51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1BBB6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39.582,41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F0953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39.978,24</w:t>
            </w:r>
          </w:p>
        </w:tc>
      </w:tr>
      <w:tr w:rsidR="007E40EC" w14:paraId="5B6A4A47" w14:textId="77777777" w:rsidTr="00261C06">
        <w:trPr>
          <w:trHeight w:val="30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D7C60C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98EB69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201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8BFB6E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396E1A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18555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A4E177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2023</w:t>
            </w:r>
          </w:p>
        </w:tc>
      </w:tr>
      <w:tr w:rsidR="007E40EC" w14:paraId="5F66F490" w14:textId="77777777" w:rsidTr="00261C06">
        <w:trPr>
          <w:trHeight w:val="30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7B05A8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Imponibile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8E245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66.983,06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141C8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68.195,10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965BF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69.386,10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35AD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69.964,86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D1B05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69.930,52</w:t>
            </w:r>
          </w:p>
        </w:tc>
      </w:tr>
      <w:tr w:rsidR="007E40EC" w14:paraId="7CB043C4" w14:textId="77777777" w:rsidTr="00261C06">
        <w:trPr>
          <w:trHeight w:val="30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BC114E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C8F0F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201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8E673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4DA5DE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E0F230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B812A6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2023</w:t>
            </w:r>
          </w:p>
        </w:tc>
      </w:tr>
      <w:tr w:rsidR="007E40EC" w14:paraId="4A0511BB" w14:textId="77777777" w:rsidTr="00261C06">
        <w:trPr>
          <w:trHeight w:val="30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124B1C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Imposta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C44D8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3.228,58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FC72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3.287,00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908F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3.344,41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0938E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3.372,31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9D67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3.370,65</w:t>
            </w:r>
          </w:p>
        </w:tc>
      </w:tr>
    </w:tbl>
    <w:p w14:paraId="3F861ADC" w14:textId="77777777" w:rsidR="007E40EC" w:rsidRDefault="007E40EC" w:rsidP="00261C06">
      <w:pPr>
        <w:pStyle w:val="Standard"/>
        <w:jc w:val="center"/>
      </w:pPr>
    </w:p>
    <w:tbl>
      <w:tblPr>
        <w:tblW w:w="8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120"/>
        <w:gridCol w:w="1120"/>
        <w:gridCol w:w="1120"/>
        <w:gridCol w:w="1120"/>
        <w:gridCol w:w="1120"/>
      </w:tblGrid>
      <w:tr w:rsidR="007E40EC" w14:paraId="26635131" w14:textId="77777777" w:rsidTr="00261C0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414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it-IT"/>
              </w:rPr>
              <w:t>CONTO ECONOMICO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285C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3119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68FB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452B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6449F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7E40EC" w14:paraId="6BCCC6E0" w14:textId="77777777" w:rsidTr="00261C0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E9EF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44ABB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3D73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B59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B2C1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64E7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7E40EC" w14:paraId="796169DF" w14:textId="77777777" w:rsidTr="00261C0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6808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80C1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201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5CA7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6C46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B225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DA89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2023</w:t>
            </w:r>
          </w:p>
        </w:tc>
      </w:tr>
      <w:tr w:rsidR="007E40EC" w14:paraId="7324A8BF" w14:textId="77777777" w:rsidTr="00261C0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986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Fatturato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B18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127.656,00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792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128.752,80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2AE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129.861,60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9FA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130.970,40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0C6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132.079,20</w:t>
            </w:r>
          </w:p>
        </w:tc>
      </w:tr>
      <w:tr w:rsidR="007E40EC" w14:paraId="074A1B1D" w14:textId="77777777" w:rsidTr="00261C0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A9A7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5142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33A9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AA63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682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3171B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60502A6B" w14:textId="77777777" w:rsidTr="00261C0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D2C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Acquisti Materie prime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A1F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33.312,60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394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33.591,36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645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33.874,32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69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34.157,28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2B2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34.440,24</w:t>
            </w:r>
          </w:p>
        </w:tc>
      </w:tr>
      <w:tr w:rsidR="007E40EC" w14:paraId="693F3FE8" w14:textId="77777777" w:rsidTr="00261C0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2DFF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99BC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9085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2BC0B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4A6D2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0A24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68FF1978" w14:textId="77777777" w:rsidTr="00261C0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A2B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Margine Contribuzione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19F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94.343,40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203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95.161,44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540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95.987,28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175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96.813,12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58C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97.638,96</w:t>
            </w:r>
          </w:p>
        </w:tc>
      </w:tr>
      <w:tr w:rsidR="007E40EC" w14:paraId="36BF0022" w14:textId="77777777" w:rsidTr="00261C0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F39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D263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007B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3C09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FDF3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2CE3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6E146D1C" w14:textId="77777777" w:rsidTr="00261C0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4E97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Totale Costi Fissi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A27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23.340,00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E70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22.860,00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E70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22.320,00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28E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22.380,00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D73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23.040,00</w:t>
            </w:r>
          </w:p>
        </w:tc>
      </w:tr>
      <w:tr w:rsidR="007E40EC" w14:paraId="45EAACE2" w14:textId="77777777" w:rsidTr="00261C0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ACF5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14CB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8077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2CF3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48EA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096E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559F1462" w14:textId="77777777" w:rsidTr="00261C0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7291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Totale Ammortamenti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A8F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4.800,00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47F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4.800,00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19E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4.800,00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B0F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4.800,00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21A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4.800,00</w:t>
            </w:r>
          </w:p>
        </w:tc>
      </w:tr>
      <w:tr w:rsidR="007E40EC" w14:paraId="2F4C0907" w14:textId="77777777" w:rsidTr="00261C0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DDD5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9E4F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F86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F1C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D92F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8AC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2F0B21E3" w14:textId="77777777" w:rsidTr="00261C0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325D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Totale Costo del Personale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69D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38.418,30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5AE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38.802,48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759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39.190,51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C64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39.582,41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408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39.978,24</w:t>
            </w:r>
          </w:p>
        </w:tc>
      </w:tr>
      <w:tr w:rsidR="007E40EC" w14:paraId="4082FF8E" w14:textId="77777777" w:rsidTr="00261C0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FD1F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5C12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09EC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4AC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9924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C98E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3D606809" w14:textId="77777777" w:rsidTr="00261C0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CD6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Reddito Operativo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4BC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27.785,10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E27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28.698,96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91C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29.676,77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4EB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30.050,71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D72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29.820,72</w:t>
            </w:r>
          </w:p>
        </w:tc>
      </w:tr>
      <w:tr w:rsidR="007E40EC" w14:paraId="6F0C7EAC" w14:textId="77777777" w:rsidTr="00261C0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3EBD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ACD3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0002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319D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3D52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516E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5C42C2F7" w14:textId="77777777" w:rsidTr="00261C0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75C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Gestione finanziaria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754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-779,66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406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-693,66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06E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-518,82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DBC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-331,74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31D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-131,56</w:t>
            </w:r>
          </w:p>
        </w:tc>
      </w:tr>
      <w:tr w:rsidR="007E40EC" w14:paraId="44827C96" w14:textId="77777777" w:rsidTr="00261C0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E65B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1954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845D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C37C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48BB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0845B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2E4E342B" w14:textId="77777777" w:rsidTr="00F45CB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650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Reddito Ante imposte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866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27.005,44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FFB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28.005,30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420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29.157,96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276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29.718,97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E6A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29.689,16</w:t>
            </w:r>
          </w:p>
        </w:tc>
      </w:tr>
      <w:tr w:rsidR="007E40EC" w14:paraId="19EC4738" w14:textId="77777777" w:rsidTr="00F45CB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42DBE" w14:textId="77777777" w:rsidR="007E40EC" w:rsidRDefault="007E40EC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7684" w14:textId="77777777" w:rsidR="007E40EC" w:rsidRDefault="007E40EC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6B09" w14:textId="77777777" w:rsidR="007E40EC" w:rsidRDefault="007E40EC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243E" w14:textId="77777777" w:rsidR="007E40EC" w:rsidRDefault="007E40EC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2E8C" w14:textId="77777777" w:rsidR="007E40EC" w:rsidRDefault="007E40EC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8A65" w14:textId="77777777" w:rsidR="007E40EC" w:rsidRDefault="007E40EC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1023F01F" w14:textId="77777777" w:rsidTr="00F45CB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F302" w14:textId="77777777" w:rsidR="007E40EC" w:rsidRDefault="00A935D2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Imposte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4806" w14:textId="77777777" w:rsidR="007E40EC" w:rsidRDefault="00A935D2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9.709,89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0624" w14:textId="77777777" w:rsidR="007E40EC" w:rsidRDefault="00A935D2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10.008,28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6580" w14:textId="77777777" w:rsidR="007E40EC" w:rsidRDefault="00A935D2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10.342,32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B1D9" w14:textId="77777777" w:rsidR="007E40EC" w:rsidRDefault="00A935D2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10.504,86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9D35" w14:textId="77777777" w:rsidR="007E40EC" w:rsidRDefault="00A935D2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10.496,05</w:t>
            </w:r>
          </w:p>
        </w:tc>
      </w:tr>
      <w:tr w:rsidR="007E40EC" w14:paraId="434F5CC5" w14:textId="77777777" w:rsidTr="00F45CB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7E19" w14:textId="77777777" w:rsidR="007E40EC" w:rsidRDefault="007E40EC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55EB2" w14:textId="77777777" w:rsidR="007E40EC" w:rsidRDefault="007E40EC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EB5CB" w14:textId="77777777" w:rsidR="007E40EC" w:rsidRDefault="007E40EC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11280" w14:textId="77777777" w:rsidR="007E40EC" w:rsidRDefault="007E40EC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859A" w14:textId="77777777" w:rsidR="007E40EC" w:rsidRDefault="007E40EC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53B43" w14:textId="77777777" w:rsidR="007E40EC" w:rsidRDefault="007E40EC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453A123A" w14:textId="77777777" w:rsidTr="00F45CB6">
        <w:trPr>
          <w:trHeight w:val="2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CCD4" w14:textId="77777777" w:rsidR="007E40EC" w:rsidRDefault="00A935D2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Reddito Netto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C3FF" w14:textId="77777777" w:rsidR="007E40EC" w:rsidRDefault="00A935D2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17.295,55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E573" w14:textId="77777777" w:rsidR="007E40EC" w:rsidRDefault="00A935D2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17.997,02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687D" w14:textId="77777777" w:rsidR="007E40EC" w:rsidRDefault="00A935D2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18.815,64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32B0" w14:textId="77777777" w:rsidR="007E40EC" w:rsidRDefault="00A935D2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19.214,11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7B62" w14:textId="77777777" w:rsidR="007E40EC" w:rsidRDefault="00A935D2" w:rsidP="00F45C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it-IT"/>
              </w:rPr>
              <w:t>19.193,11</w:t>
            </w:r>
          </w:p>
        </w:tc>
      </w:tr>
    </w:tbl>
    <w:p w14:paraId="5FDA1AAD" w14:textId="77777777" w:rsidR="007E40EC" w:rsidRDefault="007E40EC">
      <w:pPr>
        <w:pStyle w:val="Standard"/>
        <w:jc w:val="both"/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120"/>
        <w:gridCol w:w="1120"/>
        <w:gridCol w:w="316"/>
        <w:gridCol w:w="804"/>
        <w:gridCol w:w="800"/>
        <w:gridCol w:w="320"/>
        <w:gridCol w:w="480"/>
        <w:gridCol w:w="640"/>
        <w:gridCol w:w="160"/>
        <w:gridCol w:w="800"/>
      </w:tblGrid>
      <w:tr w:rsidR="007E40EC" w14:paraId="5FCB1ECD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4D3E565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Indicatori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B83D66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BC4CBC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07C9E76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67BF6C6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35AD98C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5B801A14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0E6978C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F4AA5F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DCD8F0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01F4F67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2D9FA42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6069F24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46138C48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5C75696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Riclassificazione SP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F58683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A38FE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26D45D0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3C025DD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1D5E73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7D3571A6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76F9908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F2B6EB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043B90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611D104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3305BD52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E3CCA9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73971432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0655E95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Attività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E46D38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201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E3EB7F0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27234DAD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2021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1067B75F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5F282F6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2023</w:t>
            </w:r>
          </w:p>
        </w:tc>
      </w:tr>
      <w:tr w:rsidR="007E40EC" w14:paraId="2D69880F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05EEB3A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Blocco </w:t>
            </w: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1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 :  Attività Fisse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6FFB3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22.200,00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065BF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17.400,00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F03799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12.600,00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35C3B5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7.800,00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45C8BB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3.000,00</w:t>
            </w:r>
          </w:p>
        </w:tc>
      </w:tr>
      <w:tr w:rsidR="007E40EC" w14:paraId="3F913E47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44957C5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Blocco </w:t>
            </w: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2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 :  Attività Correnti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5D00E1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43.286,89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9B9653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52.908,03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286BE4A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56.034,74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E301BC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58.432,67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26A5BEB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79.593,48</w:t>
            </w:r>
          </w:p>
        </w:tc>
      </w:tr>
      <w:tr w:rsidR="007E40EC" w14:paraId="48D50F02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420F098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5EE454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E5AE6F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6619DC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19EEEA1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D97EFB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7617F672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30ADA88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128077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65.486,89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7B3E6D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70.308,03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5BAC2BF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68.634,74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72046D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66.232,67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2C4BE18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82.593,48</w:t>
            </w:r>
          </w:p>
        </w:tc>
      </w:tr>
      <w:tr w:rsidR="007E40EC" w14:paraId="2D574B3C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10565DA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C540C1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F6187B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B9FF60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2AF65FB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5DE8216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7F84D5C4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08EE013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Passività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DB121E0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201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F6D5D1F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219A6ACB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2021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3BFFC364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5DF79E68" w14:textId="77777777" w:rsidR="007E40EC" w:rsidRDefault="00094B4F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2023</w:t>
            </w:r>
          </w:p>
        </w:tc>
      </w:tr>
      <w:tr w:rsidR="007E40EC" w14:paraId="2A611E4C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2609C62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Blocco </w:t>
            </w: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3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 :  Capitale Proprio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0047D7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30.795,55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74F401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47.063,02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265B5D3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47.881,63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1A15030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48.280,11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3321951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67.473,22</w:t>
            </w:r>
          </w:p>
        </w:tc>
      </w:tr>
      <w:tr w:rsidR="007E40EC" w14:paraId="4026487B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6AD4110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Blocco </w:t>
            </w: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4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 :  Debiti a medio lungo termine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49DA44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12.559,10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EB3881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10.675,86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1877B2F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8.322,70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3198FD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5.635,05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6AEEF7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2.673,64</w:t>
            </w:r>
          </w:p>
        </w:tc>
      </w:tr>
      <w:tr w:rsidR="007E40EC" w14:paraId="054C1344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17B767C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Blocco </w:t>
            </w: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5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 :  Passività correnti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214457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22.132,24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EBA6EE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12.569,16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213C767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12.430,40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279AA7E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12.317,52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328F50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12.446,62</w:t>
            </w:r>
          </w:p>
        </w:tc>
      </w:tr>
      <w:tr w:rsidR="007E40EC" w14:paraId="554D1D23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528BBA6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57A925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A4D627B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65C7F61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3383E9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5FC64B8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06D48E4C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0A63BB6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F1949A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65.486,89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82AEFA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70.308,03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2238695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68.634,74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692D940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66.232,67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1493D81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82.593,48</w:t>
            </w:r>
          </w:p>
        </w:tc>
      </w:tr>
      <w:tr w:rsidR="007E40EC" w14:paraId="46C8A94B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23639ABB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F33B65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DE759EF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6F720B5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052A5A42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4D55272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2F078E1E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1B137FD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61BE332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6E7E6AF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0989822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B53871B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E730EB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2C9A21C1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4FE3EB5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Riclassificazione CE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5C9402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4AEEB3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0581742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5252666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3E2F033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083E0BA5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300DB05F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33FC63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201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662D92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3EEF814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31B00064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80BD02C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3</w:t>
            </w:r>
          </w:p>
        </w:tc>
      </w:tr>
      <w:tr w:rsidR="007E40EC" w14:paraId="4A683DD8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4F515C6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Blocco </w:t>
            </w: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1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 Fatturato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F51F23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127.656,00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5C6274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128.752,80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1DDDE66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129.861,60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64DBB5F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130.970,40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5BE063F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132.079,20</w:t>
            </w:r>
          </w:p>
        </w:tc>
      </w:tr>
      <w:tr w:rsidR="007E40EC" w14:paraId="1F15B858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1C19610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Blocco </w:t>
            </w: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2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 Costi della Produzione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4AB65E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56.652,60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E709F5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56.451,36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119D995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56.194,32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66102BB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56.537,28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156A038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57.480,24</w:t>
            </w:r>
          </w:p>
        </w:tc>
      </w:tr>
      <w:tr w:rsidR="007E40EC" w14:paraId="40E0ED85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1F4DD63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 xml:space="preserve">1° Margine -&gt;Valore aggiunto (Blocco 1 – Blocco </w:t>
            </w:r>
            <w:proofErr w:type="gramStart"/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):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81F07E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71.003,40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97F8E5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72.301,44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1D84CD3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73.667,28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0AC18B8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74.433,12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3E11832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74.598,96</w:t>
            </w:r>
          </w:p>
        </w:tc>
      </w:tr>
      <w:tr w:rsidR="007E40EC" w14:paraId="0331E556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1004E14F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6444CF2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548B11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0BD81C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3128E71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09364CE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423C0243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2C37C16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Blocco </w:t>
            </w: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3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 Costo del Lavoro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2043A6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38.418,30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7408C8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38.802,48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25C097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39.190,51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FE3B55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39.582,41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6DB1349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39.978,24</w:t>
            </w:r>
          </w:p>
        </w:tc>
      </w:tr>
      <w:tr w:rsidR="007E40EC" w14:paraId="7EDCFEE9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132FAA2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lastRenderedPageBreak/>
              <w:t>2° Margine -&gt; Margine Operativo Lordo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6A007B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32.585,10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453E37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33.498,96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014B62F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34.476,77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41F8F4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34.850,71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09C8FEA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34.620,72</w:t>
            </w:r>
          </w:p>
        </w:tc>
      </w:tr>
      <w:tr w:rsidR="007E40EC" w14:paraId="7D82C8B3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7F2C391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E96F85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0C27C2B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202277E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655EC38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F80712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7D22BAF4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1D5A76E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Blocco </w:t>
            </w: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4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 Ammortamenti e accantonamenti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28F9FA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4.800,00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EDBF6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4.800,00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1DD4F9E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4.800,00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0E832BA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4.800,00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592F0D6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4.800,00</w:t>
            </w:r>
          </w:p>
        </w:tc>
      </w:tr>
      <w:tr w:rsidR="007E40EC" w14:paraId="605BAD94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386B10D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3° Margine -&gt; Reddito Operativo (</w:t>
            </w: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Ebit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E72A94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27.785,10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FD3FA9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28.698,96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5240E33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29.676,77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1E58D06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30.050,71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5040C89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29.820,72</w:t>
            </w:r>
          </w:p>
        </w:tc>
      </w:tr>
      <w:tr w:rsidR="007E40EC" w14:paraId="4436F97C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381F027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AEB18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0DD4C2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4BF524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AC44D0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57CBE5A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7A5A04FF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0C0DE98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Blocco </w:t>
            </w: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5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 Saldo gestione finanziaria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CC3E37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779,66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1F916E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693,66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5BF0863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518,82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355AC8B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331,74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6D23C2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131,56</w:t>
            </w:r>
          </w:p>
        </w:tc>
      </w:tr>
      <w:tr w:rsidR="007E40EC" w14:paraId="63C17DAA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6A7E954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3° Margine -&gt; Reddito Corrente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530F11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27.005,44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19E2A0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28.005,30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BBFB94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29.157,96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05344F2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29.718,97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2CD945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29.689,16</w:t>
            </w:r>
          </w:p>
        </w:tc>
      </w:tr>
      <w:tr w:rsidR="007E40EC" w14:paraId="1C09FE91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10FEC05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25C4C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FB448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1811CB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0137E73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58ADBBC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464199C9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4677B8D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Blocco </w:t>
            </w: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6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 Saldo gestione straordinaria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9FC25B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93ED99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5B2EF52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337F13C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2D26D83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62D79E67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5DB58BC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4° Margine -&gt; Reddito prima delle imposte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BF863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27.005,44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68CC5A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28.005,30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61881B3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29.157,96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3D8914F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29.718,97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EF6884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29.689,16</w:t>
            </w:r>
          </w:p>
        </w:tc>
      </w:tr>
      <w:tr w:rsidR="007E40EC" w14:paraId="166DBE12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04E4CA9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83D797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968DBC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56C491E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E1E034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07011F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6D516792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0B2178E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Blocco </w:t>
            </w: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7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 Imposte ed onere tributari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2810E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9.709,89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21C753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10.008,28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18C95A8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10.342,32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FA3CD6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10.504,86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A0CEF9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10.496,05</w:t>
            </w:r>
          </w:p>
        </w:tc>
      </w:tr>
      <w:tr w:rsidR="007E40EC" w14:paraId="07744435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66FF50C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5° Margine -&gt; Risultato netto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BCC104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17.295,55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E9A6AE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17.997,02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5503455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18.815,64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987909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19.214,11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60C1D77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19.193,11</w:t>
            </w:r>
          </w:p>
        </w:tc>
      </w:tr>
      <w:tr w:rsidR="007E40EC" w14:paraId="1138B7B1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1269536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DB1B8C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60AE87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B84D10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315300E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5856B3B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3437E3B2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47EBB6B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8CDC49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8FC294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0CC860C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E34D5C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BF940C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5A9FD421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5F26FAB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Indicatori di Redditività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56DB45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CAB863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2B485F9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12890B5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2E85B5E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665F6789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4099C9D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6E0D408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201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A332713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76EDA84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2C1F941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168423D5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3</w:t>
            </w:r>
          </w:p>
        </w:tc>
      </w:tr>
      <w:tr w:rsidR="007E40EC" w14:paraId="64D50E97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7513E5B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ROI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60430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64%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2F7F0C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50%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5CDDEE7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53%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9115C9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56%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3A18CF4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43%</w:t>
            </w:r>
          </w:p>
        </w:tc>
      </w:tr>
      <w:tr w:rsidR="007E40EC" w14:paraId="33ADB644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5C9DA65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ROE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70388F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56%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DAA1D0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38%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1228A9A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39%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3D022FA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40%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17EB29C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28%</w:t>
            </w:r>
          </w:p>
        </w:tc>
      </w:tr>
      <w:tr w:rsidR="007E40EC" w14:paraId="067BCF04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2A3630C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ROTA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FA5FF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42%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F3F80F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41%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524414B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43%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18DABFA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45%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1AF6BB4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36%</w:t>
            </w:r>
          </w:p>
        </w:tc>
      </w:tr>
      <w:tr w:rsidR="007E40EC" w14:paraId="36FBFCBB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56C18AB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9F38C82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F6244F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27FDC87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DFFA72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63BBCED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27EAF392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7C1B62D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AC4BF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9EC206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2A49E3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056425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83B59A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497D1A42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7B8EFFB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Indicatori di Liquidità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7F48A2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B6524C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3240D6F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C84629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DC6AA3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17266387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5F652FD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7E83699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201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28364F9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5C572AE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32CD6F54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0E34B592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3</w:t>
            </w:r>
          </w:p>
        </w:tc>
      </w:tr>
      <w:tr w:rsidR="007E40EC" w14:paraId="4EEC3DDB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36C5027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Capitale circolante netto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EFB7F1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21.154,65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1469D1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40.338,88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1D058D7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43.604,33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7910EFB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46.115,16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19C8FF0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67.146,86</w:t>
            </w:r>
          </w:p>
        </w:tc>
      </w:tr>
      <w:tr w:rsidR="007E40EC" w14:paraId="2703CDF5" w14:textId="77777777" w:rsidTr="00F45CB6">
        <w:trPr>
          <w:gridAfter w:val="2"/>
          <w:wAfter w:w="955" w:type="dxa"/>
          <w:trHeight w:val="24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580DC8A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Current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 xml:space="preserve"> ratio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3D6D30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196%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36AAE2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421%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2EA6E1C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451%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532FAB0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474%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66C1771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639%</w:t>
            </w:r>
          </w:p>
        </w:tc>
      </w:tr>
      <w:tr w:rsidR="007E40EC" w14:paraId="2055D29F" w14:textId="77777777" w:rsidTr="00F45CB6">
        <w:trPr>
          <w:trHeight w:val="300"/>
        </w:trPr>
        <w:tc>
          <w:tcPr>
            <w:tcW w:w="5973" w:type="dxa"/>
            <w:gridSpan w:val="4"/>
            <w:shd w:val="clear" w:color="auto" w:fill="auto"/>
            <w:noWrap/>
            <w:vAlign w:val="center"/>
            <w:hideMark/>
          </w:tcPr>
          <w:p w14:paraId="580106D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  <w:p w14:paraId="3A707A5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  <w:p w14:paraId="081133D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  <w:p w14:paraId="16FEA4B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  <w:p w14:paraId="4201994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  <w:p w14:paraId="52623DB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proofErr w:type="gramStart"/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Cash Flow</w:t>
            </w:r>
            <w:proofErr w:type="gramEnd"/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DE6782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D9C9F3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6C944D5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10687022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A2745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521FC0F8" w14:textId="77777777" w:rsidTr="00F45CB6">
        <w:trPr>
          <w:trHeight w:val="30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177DED4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5503F27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37991E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39DE25A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1A56508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C5B357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0C635C5C" w14:textId="77777777" w:rsidTr="00F45CB6">
        <w:trPr>
          <w:trHeight w:val="240"/>
        </w:trPr>
        <w:tc>
          <w:tcPr>
            <w:tcW w:w="8372" w:type="dxa"/>
            <w:gridSpan w:val="8"/>
            <w:shd w:val="clear" w:color="auto" w:fill="auto"/>
            <w:noWrap/>
            <w:vAlign w:val="bottom"/>
            <w:hideMark/>
          </w:tcPr>
          <w:p w14:paraId="273ACBB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Flusso della gestione reddituale determinato con il metodo </w:t>
            </w:r>
            <w:proofErr w:type="gram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indiretto</w:t>
            </w:r>
            <w:proofErr w:type="gramEnd"/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15A66C0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8BDB2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57808D5F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5ADAEC3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BA40B8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5B6AA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7117410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242600B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0F5F9E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2348B25A" w14:textId="77777777" w:rsidTr="00F45CB6">
        <w:trPr>
          <w:trHeight w:val="240"/>
        </w:trPr>
        <w:tc>
          <w:tcPr>
            <w:tcW w:w="8372" w:type="dxa"/>
            <w:gridSpan w:val="8"/>
            <w:shd w:val="clear" w:color="auto" w:fill="auto"/>
            <w:noWrap/>
            <w:vAlign w:val="bottom"/>
            <w:hideMark/>
          </w:tcPr>
          <w:p w14:paraId="79BC64C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A. Flussi finanziari derivanti dalla gestione reddituale (metodo indiretto)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4B731C6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14994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4C722CCE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36EEE8B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06624292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2A0943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6562A5CB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147F563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41B0A9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317B30EF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532DAEA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A932CDE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201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2D0A75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29F6DAC2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7E331D6A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9FC5CA7" w14:textId="77777777" w:rsidR="007E40EC" w:rsidRDefault="00A935D2" w:rsidP="00094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202</w:t>
            </w:r>
            <w:r w:rsidR="00094B4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3</w:t>
            </w:r>
          </w:p>
        </w:tc>
      </w:tr>
      <w:tr w:rsidR="007E40EC" w14:paraId="2220FE5F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5E11187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Utile (perdita) dell’esercizio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50E5612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17.295,55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ACDFF8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17.997,02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1BD07B0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18.815,64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280D13C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19.214,11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8BCE81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19.193,11</w:t>
            </w:r>
          </w:p>
        </w:tc>
      </w:tr>
      <w:tr w:rsidR="007E40EC" w14:paraId="491BEB8B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66CB3C9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Imposte sul reddito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DDFF13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9.709,89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3351FE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10.008,28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1815836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10.342,32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0C5E35B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10.504,86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53FBBF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10.496,05</w:t>
            </w:r>
          </w:p>
        </w:tc>
      </w:tr>
      <w:tr w:rsidR="007E40EC" w14:paraId="340F84C3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4F281F6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Interessi passivi/</w:t>
            </w: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(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interessi attivi)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51492EB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-779,66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93330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-693,66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4D1A2F2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-518,82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008F8BE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-331,74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DF751F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-131,56</w:t>
            </w:r>
          </w:p>
        </w:tc>
      </w:tr>
      <w:tr w:rsidR="007E40EC" w14:paraId="7E2A21AC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5264F5A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(Dividendi)</w:t>
            </w: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0630204F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7F54276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5A7876C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5A72955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78D77ED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149D4C1A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315AB16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(Plusvalenze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)/minusvalenze derivanti dalla cessione di attività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7F54A83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DC7149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096E869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702EAB5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97124C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2D656220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vAlign w:val="bottom"/>
            <w:hideMark/>
          </w:tcPr>
          <w:p w14:paraId="717D387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16"/>
                <w:szCs w:val="16"/>
                <w:lang w:eastAsia="it-IT"/>
              </w:rPr>
              <w:t>1. Utile (perdita) dell’esercizio prima d’imposte sul reddito, interessi, dividendi e plus/minusvalenze da cessione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6BEB2D5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8.365,32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36C71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8.682,41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center"/>
            <w:hideMark/>
          </w:tcPr>
          <w:p w14:paraId="28813DB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8.992,13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center"/>
            <w:hideMark/>
          </w:tcPr>
          <w:p w14:paraId="01284B7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9.040,99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E4463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8.828,62</w:t>
            </w:r>
          </w:p>
        </w:tc>
      </w:tr>
      <w:tr w:rsidR="007E40EC" w14:paraId="7DB6805E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25723DE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2ABE858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6A16494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7405085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001D929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098CE83F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1FA44DB3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5D67894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Rettifiche per elementi non monetari che non hanno avuto contropa</w:t>
            </w: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r</w:t>
            </w: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 xml:space="preserve">tita nel capitale circolante </w:t>
            </w:r>
            <w:proofErr w:type="gramStart"/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netto</w:t>
            </w:r>
            <w:proofErr w:type="gramEnd"/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680B46E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13AD114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717B703B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278D792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796E82F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0EBF7A6F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7D45969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Accantonamenti ai fondi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71AEA1B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2.065,50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37E4CA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2.086,16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2F4EBF6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2.107,02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7B111F5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2.128,09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AEB44E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2.149,37</w:t>
            </w:r>
          </w:p>
        </w:tc>
      </w:tr>
      <w:tr w:rsidR="007E40EC" w14:paraId="5F6AE394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62C8BB5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Ammortamenti delle immobilizzazioni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49C8736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4.800,00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9FF9B4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4.800,00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4DF56F8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4.800,00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5BC45B5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4.800,00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6F2106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4.800,00</w:t>
            </w:r>
          </w:p>
        </w:tc>
      </w:tr>
      <w:tr w:rsidR="007E40EC" w14:paraId="6889BA81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22A9812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Svalutazioni per perdite durevoli di valore</w:t>
            </w: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5BCC8D9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516073DB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7C49738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28E1A2C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732EE16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494C056F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06C4C66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Altre rettifiche per elementi non monetari</w:t>
            </w: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45FC013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6FC82DE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6D956E8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18BDFDB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4BBA689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7DD62726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vAlign w:val="bottom"/>
            <w:hideMark/>
          </w:tcPr>
          <w:p w14:paraId="0479483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16"/>
                <w:szCs w:val="16"/>
                <w:lang w:eastAsia="it-IT"/>
              </w:rPr>
              <w:t xml:space="preserve">2. Flusso finanziario prima delle variazioni del </w:t>
            </w:r>
            <w:proofErr w:type="spellStart"/>
            <w:r>
              <w:rPr>
                <w:rFonts w:eastAsia="Times New Roman"/>
                <w:b/>
                <w:bCs/>
                <w:color w:val="525252"/>
                <w:kern w:val="0"/>
                <w:sz w:val="16"/>
                <w:szCs w:val="16"/>
                <w:lang w:eastAsia="it-IT"/>
              </w:rPr>
              <w:t>ccn</w:t>
            </w:r>
            <w:proofErr w:type="spellEnd"/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3BD45E7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15.230,82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D38D81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15.568,56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68C5E00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15.899,15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0A30ADA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15.969,08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881FD1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15.777,99</w:t>
            </w:r>
          </w:p>
        </w:tc>
      </w:tr>
      <w:tr w:rsidR="007E40EC" w14:paraId="09200F76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vAlign w:val="bottom"/>
            <w:hideMark/>
          </w:tcPr>
          <w:p w14:paraId="1BA8E2E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39167D5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2ED2FA8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6EE2B07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0997A1E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192A5C3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567D1641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2DFDC9C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Variazioni del capitale circolante netto</w:t>
            </w: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7C33B68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66EF53C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066EE72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67A7349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149941C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0B81549D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17CBA6D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Decremento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/(incremento) delle rimanenze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7ACC36C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75F7F9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75AE75F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40F10BE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A618D9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1BBED8A4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7B97C99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lastRenderedPageBreak/>
              <w:t>Decremento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/(incremento) dei crediti vs clienti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091DE62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B1210B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5F1769E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2046E30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A80D6D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40DD4556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0389B99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Incremento/</w:t>
            </w: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(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decremento) dei debiti verso fornitori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55A1773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11.577,26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E66B2D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-169,65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34E8081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-193,66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448A813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50,34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08B08C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294,34</w:t>
            </w:r>
          </w:p>
        </w:tc>
      </w:tr>
      <w:tr w:rsidR="007E40EC" w14:paraId="308F5556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03B9DC2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Decremento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/(incremento) ratei e risconti attivi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0C4034F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63D9FC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5528902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102E2A3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6164CD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1F1D2679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05C98DA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Incremento/</w:t>
            </w: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(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decremento) ratei e risconti passivi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204CD9A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F45964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6BA41D9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1210930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0E57DF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07C5ABED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3C59B1F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Altre variazioni del capitale circolante netto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580D51E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845,10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20C10D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18,07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73EDEC1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19,25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09879AE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8,28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24E7AB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-2,70</w:t>
            </w:r>
          </w:p>
        </w:tc>
      </w:tr>
      <w:tr w:rsidR="007E40EC" w14:paraId="7F0BD5E3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vAlign w:val="bottom"/>
            <w:hideMark/>
          </w:tcPr>
          <w:p w14:paraId="45614B7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16"/>
                <w:szCs w:val="16"/>
                <w:lang w:eastAsia="it-IT"/>
              </w:rPr>
              <w:t xml:space="preserve">3. Flusso finanziario dopo le variazioni del </w:t>
            </w:r>
            <w:proofErr w:type="spellStart"/>
            <w:r>
              <w:rPr>
                <w:rFonts w:eastAsia="Times New Roman"/>
                <w:b/>
                <w:bCs/>
                <w:color w:val="525252"/>
                <w:kern w:val="0"/>
                <w:sz w:val="16"/>
                <w:szCs w:val="16"/>
                <w:lang w:eastAsia="it-IT"/>
              </w:rPr>
              <w:t>ccn</w:t>
            </w:r>
            <w:proofErr w:type="spellEnd"/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4099AA3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12.422,35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223D57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-151,58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13C1667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-174,41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7D849F1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58,62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D860F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291,64</w:t>
            </w:r>
          </w:p>
        </w:tc>
      </w:tr>
      <w:tr w:rsidR="007E40EC" w14:paraId="56F3B7F5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vAlign w:val="bottom"/>
            <w:hideMark/>
          </w:tcPr>
          <w:p w14:paraId="04196B9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5E4138B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072A0C3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732463B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561332D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3992FCA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700D67A2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5EE526A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Altre rettifiche</w:t>
            </w: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180940D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3609665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21A75F6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2D04102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0FEC1C7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0D446D71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4D4DA09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Interessi incassati/</w:t>
            </w: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(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pagati)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3616D30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779,66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4AB0F1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693,66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516E7A6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518,82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165AE98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331,74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8BEDD8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131,56</w:t>
            </w:r>
          </w:p>
        </w:tc>
      </w:tr>
      <w:tr w:rsidR="007E40EC" w14:paraId="70A7D47C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152737C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(Imposte sul reddito pagate)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C93C22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-19.419,78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B8D465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-596,77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25D0331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-10.377,98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3F45289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-10.333,36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B33E36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-10.324,70</w:t>
            </w:r>
          </w:p>
        </w:tc>
      </w:tr>
      <w:tr w:rsidR="007E40EC" w14:paraId="4033694C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718F92B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Dividendi incassati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2BFCE92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08A23B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6E88D81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12D664B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5E368A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3FA52137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0F5B682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Utilizzo dei fondi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40B71D9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-860,63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BF82FD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-1.471,67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0B50CF4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-1.787,60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362BE3A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-1.956,09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CC86A5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-2.050,96</w:t>
            </w:r>
          </w:p>
        </w:tc>
      </w:tr>
      <w:tr w:rsidR="007E40EC" w14:paraId="102D6F0F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vAlign w:val="bottom"/>
            <w:hideMark/>
          </w:tcPr>
          <w:p w14:paraId="3CF813F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4. Flusso finanziario dopo le altre rettifiche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423EF6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31.923,09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1A362F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1.223,20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3418417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11.472,36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21948B1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12.016,33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AA8937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12.535,74</w:t>
            </w:r>
          </w:p>
        </w:tc>
      </w:tr>
      <w:tr w:rsidR="007E40EC" w14:paraId="1E97B912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3A0A427B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36A52CB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79B165FB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25A257E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60130D5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55F4777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54DC9510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vAlign w:val="bottom"/>
            <w:hideMark/>
          </w:tcPr>
          <w:p w14:paraId="3DA39AC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Flusso finanziario della gestione reddituale (A)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48761A8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31.923,09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5E3F95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1.223,20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45E1721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11.472,36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74E1F2E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12.016,33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317ED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12.535,74</w:t>
            </w:r>
          </w:p>
        </w:tc>
      </w:tr>
      <w:tr w:rsidR="007E40EC" w14:paraId="71297C2B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2D4F6A2B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5AA8C7E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180A431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5CBD609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68303FE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1E1044BB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7C0FE2C6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5F8D6D5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B. Flussi finanziari derivanti dall’attività d’investimento</w:t>
            </w: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4FA875D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0CBDFE7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6FD8060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4D6B27F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22E9BD4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7E41BB83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vAlign w:val="bottom"/>
            <w:hideMark/>
          </w:tcPr>
          <w:p w14:paraId="087BC1C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0EC61F9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61B719C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4864E86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6234434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0A050948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25DC2413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3AC37EC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Immobilizzazioni materiali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78E4AC8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-20.000,00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7BBB55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7729E0F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1CA758E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B09E67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7D8F1FAD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0960BE8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(Investimenti)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5F7906E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-20.000,00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10B5E1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6C25170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65F0773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51ABB4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5B5E76F1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76BF395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Prezzo di realizzo disinvestimenti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2107A46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D3C0A7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436A76C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665AD02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4F08D0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630CED33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5205E6FF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477BB09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6F3320B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177A263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4418752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79523D7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7A88DF99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01F497D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Immobilizzazioni immateriali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F71020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-7.000,00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D68470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347998A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37E238F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CAFACE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066940CC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6FF6EE1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(Investimenti)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6F18A56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-7.000,00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F8EFB9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4B55FA1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3C67127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93CA3E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17CBE473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0EE77E1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Prezzo di realizzo disinvestimenti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61DD2A1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CA4D09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59E2B34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6903974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9CEA63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2286E5AE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0407E06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3D3893F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3E91BF6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7867B2B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3D41204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06811EC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2658D175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2C2603D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Immobilizzazioni finanziarie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496D97A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C5FF85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58C752E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71C39F2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8BDD9C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1EC52111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38683C7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(Investimenti)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1E4553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A6948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349C953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76157C8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1582D0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770CEA92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0B925EB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Prezzo di realizzo disinvestimenti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0949898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52CAB3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7DB26F1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415DCCE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68BAA3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01330CD1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458FDBE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3AF3DFF2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38E3152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7AAED1D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1FB4A45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7012181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3CED102B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1E7F551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 xml:space="preserve">Attività Finanziarie non </w:t>
            </w:r>
            <w:proofErr w:type="gramStart"/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immobilizzate</w:t>
            </w:r>
            <w:proofErr w:type="gramEnd"/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15F1134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5C7E472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737D758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2F11CA7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58908FE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13570529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6D92228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(Investimenti)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A42836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4B71C4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7FC367F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067848B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F8A9A8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2FCAF2B7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0C6DC0C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Prezzo di realizzo disinvestimenti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69884AD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ABB95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52F281B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3C67496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17710C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55A30539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17CE233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5A29821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570A46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4D5F69B8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6067861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8F2C4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7F5661F2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6A0C3CB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7283011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26CEA94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6141BAE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31AAFD4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07C3D88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6AD3AFE9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vAlign w:val="bottom"/>
            <w:hideMark/>
          </w:tcPr>
          <w:p w14:paraId="2FF875E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 xml:space="preserve">Flusso finanziario dell’attività </w:t>
            </w:r>
            <w:proofErr w:type="gramStart"/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 xml:space="preserve">di </w:t>
            </w:r>
            <w:proofErr w:type="gramEnd"/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investimento (B)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69CF010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-27.000,00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567E7B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3E309CA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69F6E90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057292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71C5D230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5610748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50544F9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4D7F26A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21FBC99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53715A4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3EA241DF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17781045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4D1D74E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C. Flussi finanziari derivanti dall’attività di finanziamento</w:t>
            </w: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7E1A5FF6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54E05A5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3DF6FD72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4765D49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28992DA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27FCEFBB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vAlign w:val="bottom"/>
            <w:hideMark/>
          </w:tcPr>
          <w:p w14:paraId="7414E2E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6052C9AF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631016E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7B4BEEC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2B13B44A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2DF841B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11257454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2D8596E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Mezzi di terzi</w:t>
            </w: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78FAD7B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4A323902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03C1DE1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3F72D6F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33AD0F01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27ED46E4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64EC819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Accensione finanziamenti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6035990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13.500,00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33DCEA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752DE6A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7CF7B7B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650E1A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14405C0A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54C56B6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Rimborso finanziamenti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34B6085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-2.145,77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66AB4B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-2.497,73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06A4AD4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-2.672,57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76981E8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-2.859,65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4D7576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-3.059,82</w:t>
            </w:r>
          </w:p>
        </w:tc>
      </w:tr>
      <w:tr w:rsidR="007E40EC" w14:paraId="2F613E9F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0417B4C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1C7E817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3C39B04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0C2BC1C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05B49A33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7C8C59E2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E40EC" w14:paraId="1D26F481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40AC15A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16"/>
                <w:szCs w:val="16"/>
                <w:lang w:eastAsia="it-IT"/>
              </w:rPr>
              <w:t>Mezzi propri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24C6A05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13.500,00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3024E8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-1.729,55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3A8B3C8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-17.997,02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0A9CE1D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-18.815,64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F90480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7B3B9860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7A7EBDC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Aumento di capitale a pagamento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6B44192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13.500,00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E8578C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5177707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6E23517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BF904D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30380358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385186C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Cessione (acquisto) di azioni proprie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2AAC22F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8C6FB3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749FFC0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3894F90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62262E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2E1CB0D7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6FE503E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 xml:space="preserve">Dividendi (e acconti su </w:t>
            </w:r>
            <w:proofErr w:type="gramStart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dividendi</w:t>
            </w:r>
            <w:proofErr w:type="gramEnd"/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  <w:t>) pagati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3FD2E8CB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939789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-1.729,55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4CD4A960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-17.997,02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1572A444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-18.815,64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A1476C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  <w:t>0,00</w:t>
            </w:r>
          </w:p>
        </w:tc>
      </w:tr>
      <w:tr w:rsidR="007E40EC" w14:paraId="756A1B31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1DB90312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7B7B7B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5DB790A5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6634F23D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183E085F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1ED3E1CE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418A65A4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it-IT"/>
              </w:rPr>
            </w:pPr>
          </w:p>
        </w:tc>
      </w:tr>
      <w:tr w:rsidR="007E40EC" w14:paraId="34D016A5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vAlign w:val="bottom"/>
            <w:hideMark/>
          </w:tcPr>
          <w:p w14:paraId="02A2261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Flusso finanziario dell’attività di finanziamento (C)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219CA4AA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€ 24.854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65D2D9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-€ 4.227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0A56851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-€ 20.670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343C3D9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-€ 21.675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6137DD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-€ 3.060</w:t>
            </w:r>
          </w:p>
        </w:tc>
      </w:tr>
      <w:tr w:rsidR="007E40EC" w14:paraId="3A239778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2E019AD9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0E9E47AF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6930B7AC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0D033D0B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gridSpan w:val="2"/>
            <w:shd w:val="clear" w:color="000000" w:fill="FFFFFF"/>
            <w:noWrap/>
            <w:vAlign w:val="bottom"/>
            <w:hideMark/>
          </w:tcPr>
          <w:p w14:paraId="504996A0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32246AD7" w14:textId="77777777" w:rsidR="007E40EC" w:rsidRDefault="007E40EC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  <w:tr w:rsidR="007E40EC" w14:paraId="10E7EBE5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02769683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Incremento (</w:t>
            </w:r>
            <w:proofErr w:type="gramStart"/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decremento</w:t>
            </w:r>
            <w:proofErr w:type="gramEnd"/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) delle disponibilità liquide (a ± b ± c)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A78D0BF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€ 45.008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7ECE8DC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€ 12.564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46AE169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€ 6.702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1FA664F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€ 6.310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D7B5E9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€ 25.254</w:t>
            </w:r>
          </w:p>
        </w:tc>
      </w:tr>
      <w:tr w:rsidR="007E40EC" w14:paraId="5EDB5A8F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2C517667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t>Disponibilità liquide inizio periodo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4C38087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CA975CE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€ 45.008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2C1918A2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€ 57.573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59D2CC8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€ 64.275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6FE24E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€ 70.585</w:t>
            </w:r>
          </w:p>
        </w:tc>
      </w:tr>
      <w:tr w:rsidR="007E40EC" w14:paraId="470495E7" w14:textId="77777777" w:rsidTr="00F45CB6">
        <w:trPr>
          <w:trHeight w:val="240"/>
        </w:trPr>
        <w:tc>
          <w:tcPr>
            <w:tcW w:w="5973" w:type="dxa"/>
            <w:gridSpan w:val="4"/>
            <w:shd w:val="clear" w:color="auto" w:fill="auto"/>
            <w:noWrap/>
            <w:vAlign w:val="bottom"/>
            <w:hideMark/>
          </w:tcPr>
          <w:p w14:paraId="202DFE3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525252"/>
                <w:kern w:val="0"/>
                <w:sz w:val="20"/>
                <w:szCs w:val="20"/>
                <w:lang w:eastAsia="it-IT"/>
              </w:rPr>
              <w:lastRenderedPageBreak/>
              <w:t>Disponibilità liquide fine periodo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F7E246D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€ 45.008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5483606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€ 57.573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7E4D688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€ 64.275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14:paraId="7AAF2561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€ 70.585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39F8A5" w14:textId="77777777" w:rsidR="007E40EC" w:rsidRDefault="00A935D2" w:rsidP="00261C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305496"/>
                <w:kern w:val="0"/>
                <w:sz w:val="16"/>
                <w:szCs w:val="16"/>
                <w:lang w:eastAsia="it-IT"/>
              </w:rPr>
              <w:t>€ 95.839</w:t>
            </w:r>
          </w:p>
        </w:tc>
      </w:tr>
    </w:tbl>
    <w:p w14:paraId="15F78F18" w14:textId="77777777" w:rsidR="007E40EC" w:rsidRDefault="007E40EC">
      <w:pPr>
        <w:pStyle w:val="Standard"/>
        <w:jc w:val="both"/>
      </w:pPr>
    </w:p>
    <w:sectPr w:rsidR="007E40EC"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721AD" w14:textId="77777777" w:rsidR="007E14FC" w:rsidRDefault="007E14FC">
      <w:pPr>
        <w:spacing w:after="0" w:line="240" w:lineRule="auto"/>
      </w:pPr>
      <w:r>
        <w:separator/>
      </w:r>
    </w:p>
  </w:endnote>
  <w:endnote w:type="continuationSeparator" w:id="0">
    <w:p w14:paraId="2F7D7EA1" w14:textId="77777777" w:rsidR="007E14FC" w:rsidRDefault="007E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101775"/>
      <w:docPartObj>
        <w:docPartGallery w:val="Page Numbers (Bottom of Page)"/>
        <w:docPartUnique/>
      </w:docPartObj>
    </w:sdtPr>
    <w:sdtEndPr/>
    <w:sdtContent>
      <w:p w14:paraId="619D5CF3" w14:textId="77777777" w:rsidR="007E14FC" w:rsidRDefault="007E14F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8FA">
          <w:rPr>
            <w:noProof/>
          </w:rPr>
          <w:t>9</w:t>
        </w:r>
        <w:r>
          <w:fldChar w:fldCharType="end"/>
        </w:r>
      </w:p>
    </w:sdtContent>
  </w:sdt>
  <w:p w14:paraId="6D03CF95" w14:textId="77777777" w:rsidR="007E14FC" w:rsidRDefault="007E14F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94CD5" w14:textId="77777777" w:rsidR="007E14FC" w:rsidRDefault="007E14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CC5D3C" w14:textId="77777777" w:rsidR="007E14FC" w:rsidRDefault="007E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5AF"/>
    <w:multiLevelType w:val="multilevel"/>
    <w:tmpl w:val="B95A34D2"/>
    <w:styleLink w:val="WWNum1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8252E98"/>
    <w:multiLevelType w:val="hybridMultilevel"/>
    <w:tmpl w:val="3C8659B2"/>
    <w:lvl w:ilvl="0" w:tplc="6694D5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CE6"/>
    <w:multiLevelType w:val="multilevel"/>
    <w:tmpl w:val="08D08D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5F505CFB"/>
    <w:multiLevelType w:val="multilevel"/>
    <w:tmpl w:val="A3AC864A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EC"/>
    <w:rsid w:val="00094B4F"/>
    <w:rsid w:val="00261C06"/>
    <w:rsid w:val="0029727A"/>
    <w:rsid w:val="007E14FC"/>
    <w:rsid w:val="007E40EC"/>
    <w:rsid w:val="00A935D2"/>
    <w:rsid w:val="00AB5020"/>
    <w:rsid w:val="00B008FA"/>
    <w:rsid w:val="00F45CB6"/>
    <w:rsid w:val="00F5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615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atterepredefinitoparagrafo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atterepredefinitoparagrafo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AF8D-0709-D741-9955-F42F36ED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9</Pages>
  <Words>2504</Words>
  <Characters>14276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Susanna Torres</cp:lastModifiedBy>
  <cp:revision>12</cp:revision>
  <dcterms:created xsi:type="dcterms:W3CDTF">2018-04-18T20:31:00Z</dcterms:created>
  <dcterms:modified xsi:type="dcterms:W3CDTF">2019-05-30T17:26:00Z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